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EE7B1" w14:textId="36CF67C5" w:rsidR="007D21E9" w:rsidRDefault="00CE7F92" w:rsidP="007D21E9">
      <w:pPr>
        <w:pStyle w:val="BodyText"/>
        <w:jc w:val="right"/>
        <w:rPr>
          <w:rFonts w:ascii="Cambria" w:hAnsi="Cambria"/>
          <w:bCs/>
          <w:i/>
          <w:iCs/>
          <w:sz w:val="22"/>
          <w:szCs w:val="22"/>
          <w:lang w:val="cs-CZ"/>
        </w:rPr>
      </w:pPr>
      <w:r>
        <w:rPr>
          <w:rFonts w:ascii="Cambria" w:hAnsi="Cambria"/>
          <w:b/>
          <w:bCs/>
          <w:i/>
          <w:iCs/>
          <w:sz w:val="20"/>
        </w:rPr>
        <w:t xml:space="preserve"> </w:t>
      </w:r>
      <w:r w:rsidR="009B00F2" w:rsidRPr="00960E05">
        <w:rPr>
          <w:rFonts w:ascii="Cambria" w:hAnsi="Cambria"/>
          <w:b/>
          <w:bCs/>
          <w:i/>
          <w:iCs/>
          <w:sz w:val="20"/>
        </w:rPr>
        <w:t>Príloha č.</w:t>
      </w:r>
      <w:r w:rsidR="00584A12" w:rsidRPr="00960E05">
        <w:rPr>
          <w:rFonts w:ascii="Cambria" w:hAnsi="Cambria"/>
          <w:b/>
          <w:bCs/>
          <w:i/>
          <w:iCs/>
          <w:sz w:val="20"/>
        </w:rPr>
        <w:t xml:space="preserve"> </w:t>
      </w:r>
      <w:r w:rsidR="00930264">
        <w:rPr>
          <w:rFonts w:ascii="Cambria" w:hAnsi="Cambria"/>
          <w:b/>
          <w:bCs/>
          <w:i/>
          <w:iCs/>
          <w:sz w:val="20"/>
        </w:rPr>
        <w:t>4</w:t>
      </w:r>
      <w:r w:rsidR="009B00F2" w:rsidRPr="00960E05">
        <w:rPr>
          <w:rFonts w:ascii="Cambria" w:hAnsi="Cambria"/>
          <w:b/>
          <w:bCs/>
          <w:i/>
          <w:iCs/>
          <w:sz w:val="20"/>
        </w:rPr>
        <w:t xml:space="preserve"> k Servisnej zmluve č. </w:t>
      </w:r>
      <w:r w:rsidR="007D21E9" w:rsidRPr="007D21E9">
        <w:rPr>
          <w:rFonts w:ascii="Cambria" w:hAnsi="Cambria"/>
          <w:b/>
          <w:bCs/>
          <w:i/>
          <w:iCs/>
          <w:sz w:val="20"/>
        </w:rPr>
        <w:t>C-NBS1-000-122-331</w:t>
      </w:r>
    </w:p>
    <w:p w14:paraId="23355838" w14:textId="3B8B5747" w:rsidR="009B00F2" w:rsidRPr="00960E05" w:rsidRDefault="009B00F2" w:rsidP="00CC4CF5">
      <w:pPr>
        <w:pStyle w:val="Header"/>
        <w:jc w:val="right"/>
        <w:rPr>
          <w:rFonts w:ascii="Cambria" w:hAnsi="Cambria"/>
          <w:b/>
          <w:bCs/>
          <w:i/>
          <w:iCs/>
          <w:sz w:val="20"/>
          <w:szCs w:val="20"/>
        </w:rPr>
      </w:pPr>
    </w:p>
    <w:p w14:paraId="50862998" w14:textId="77777777" w:rsidR="007419DF" w:rsidRPr="00960E05" w:rsidRDefault="007419DF" w:rsidP="00CC4CF5">
      <w:pPr>
        <w:jc w:val="center"/>
        <w:rPr>
          <w:rFonts w:ascii="Cambria" w:hAnsi="Cambria" w:cs="Arial"/>
          <w:b/>
          <w:sz w:val="20"/>
        </w:rPr>
      </w:pPr>
    </w:p>
    <w:p w14:paraId="45F69079" w14:textId="77777777" w:rsidR="009B00F2" w:rsidRPr="00960E05" w:rsidRDefault="009B00F2" w:rsidP="00CC4CF5">
      <w:pPr>
        <w:jc w:val="center"/>
        <w:rPr>
          <w:rFonts w:ascii="Cambria" w:hAnsi="Cambria" w:cs="Arial"/>
          <w:b/>
          <w:sz w:val="20"/>
        </w:rPr>
      </w:pPr>
    </w:p>
    <w:p w14:paraId="1F114D26" w14:textId="77777777" w:rsidR="009B00F2" w:rsidRPr="00960E05" w:rsidRDefault="009B00F2" w:rsidP="00CC4CF5">
      <w:pPr>
        <w:jc w:val="center"/>
        <w:rPr>
          <w:rFonts w:ascii="Cambria" w:hAnsi="Cambria" w:cs="Arial"/>
          <w:b/>
          <w:sz w:val="20"/>
        </w:rPr>
      </w:pPr>
    </w:p>
    <w:p w14:paraId="75C96073" w14:textId="77777777" w:rsidR="009B00F2" w:rsidRPr="00960E05" w:rsidRDefault="009B00F2" w:rsidP="00CC4CF5">
      <w:pPr>
        <w:jc w:val="center"/>
        <w:rPr>
          <w:rFonts w:ascii="Cambria" w:hAnsi="Cambria" w:cs="Arial"/>
          <w:b/>
          <w:sz w:val="20"/>
        </w:rPr>
      </w:pPr>
    </w:p>
    <w:p w14:paraId="49861E14" w14:textId="77777777" w:rsidR="009B00F2" w:rsidRPr="00960E05" w:rsidRDefault="009B00F2" w:rsidP="00CC4CF5">
      <w:pPr>
        <w:jc w:val="center"/>
        <w:rPr>
          <w:rFonts w:ascii="Cambria" w:hAnsi="Cambria" w:cs="Arial"/>
          <w:b/>
          <w:sz w:val="20"/>
        </w:rPr>
      </w:pPr>
    </w:p>
    <w:p w14:paraId="393CBA4F" w14:textId="77777777" w:rsidR="009B00F2" w:rsidRPr="00960E05" w:rsidRDefault="009B00F2" w:rsidP="00CC4CF5">
      <w:pPr>
        <w:jc w:val="center"/>
        <w:rPr>
          <w:rFonts w:ascii="Cambria" w:hAnsi="Cambria" w:cs="Arial"/>
          <w:b/>
          <w:sz w:val="20"/>
        </w:rPr>
      </w:pPr>
    </w:p>
    <w:p w14:paraId="69C448C1" w14:textId="77777777" w:rsidR="009B00F2" w:rsidRPr="00960E05" w:rsidRDefault="009B00F2" w:rsidP="00CC4CF5">
      <w:pPr>
        <w:jc w:val="center"/>
        <w:rPr>
          <w:rFonts w:ascii="Cambria" w:hAnsi="Cambria" w:cs="Arial"/>
          <w:b/>
          <w:sz w:val="20"/>
        </w:rPr>
      </w:pPr>
    </w:p>
    <w:p w14:paraId="2A280F12" w14:textId="77777777" w:rsidR="009B00F2" w:rsidRPr="00960E05" w:rsidRDefault="009B00F2" w:rsidP="00CC4CF5">
      <w:pPr>
        <w:jc w:val="center"/>
        <w:rPr>
          <w:rFonts w:ascii="Cambria" w:hAnsi="Cambria" w:cs="Arial"/>
          <w:b/>
          <w:sz w:val="20"/>
        </w:rPr>
      </w:pPr>
    </w:p>
    <w:p w14:paraId="5DD70226" w14:textId="77777777" w:rsidR="009B00F2" w:rsidRPr="00960E05" w:rsidRDefault="009B00F2" w:rsidP="00CC4CF5">
      <w:pPr>
        <w:jc w:val="center"/>
        <w:rPr>
          <w:rFonts w:ascii="Cambria" w:hAnsi="Cambria" w:cs="Arial"/>
          <w:b/>
          <w:sz w:val="20"/>
        </w:rPr>
      </w:pPr>
    </w:p>
    <w:p w14:paraId="1C7A5921" w14:textId="77777777" w:rsidR="009B00F2" w:rsidRPr="00960E05" w:rsidRDefault="009B00F2" w:rsidP="00CC4CF5">
      <w:pPr>
        <w:jc w:val="center"/>
        <w:rPr>
          <w:rFonts w:ascii="Cambria" w:hAnsi="Cambria" w:cs="Arial"/>
          <w:b/>
          <w:sz w:val="20"/>
        </w:rPr>
      </w:pPr>
    </w:p>
    <w:p w14:paraId="1CB9FAFE" w14:textId="77777777" w:rsidR="009B00F2" w:rsidRPr="00960E05" w:rsidRDefault="009B00F2" w:rsidP="00CC4CF5">
      <w:pPr>
        <w:jc w:val="center"/>
        <w:rPr>
          <w:rFonts w:ascii="Cambria" w:hAnsi="Cambria" w:cs="Arial"/>
          <w:b/>
          <w:sz w:val="20"/>
        </w:rPr>
      </w:pPr>
    </w:p>
    <w:p w14:paraId="25DE9800" w14:textId="77777777" w:rsidR="009B00F2" w:rsidRPr="00960E05" w:rsidRDefault="009B00F2" w:rsidP="00CC4CF5">
      <w:pPr>
        <w:jc w:val="center"/>
        <w:rPr>
          <w:rFonts w:ascii="Cambria" w:hAnsi="Cambria" w:cs="Arial"/>
          <w:b/>
          <w:sz w:val="20"/>
        </w:rPr>
      </w:pPr>
    </w:p>
    <w:p w14:paraId="6779F48A" w14:textId="77777777" w:rsidR="009B00F2" w:rsidRPr="00960E05" w:rsidRDefault="009B00F2" w:rsidP="00CC4CF5">
      <w:pPr>
        <w:jc w:val="center"/>
        <w:rPr>
          <w:rFonts w:ascii="Cambria" w:hAnsi="Cambria" w:cs="Arial"/>
          <w:b/>
          <w:sz w:val="20"/>
        </w:rPr>
      </w:pPr>
    </w:p>
    <w:p w14:paraId="4CA74958" w14:textId="77777777" w:rsidR="009B00F2" w:rsidRPr="00960E05" w:rsidRDefault="009B00F2" w:rsidP="00CC4CF5">
      <w:pPr>
        <w:jc w:val="center"/>
        <w:rPr>
          <w:rFonts w:ascii="Cambria" w:hAnsi="Cambria" w:cs="Arial"/>
          <w:b/>
          <w:sz w:val="20"/>
        </w:rPr>
      </w:pPr>
    </w:p>
    <w:p w14:paraId="48B58E6F" w14:textId="77777777" w:rsidR="009B00F2" w:rsidRPr="00960E05" w:rsidRDefault="009B00F2" w:rsidP="00CC4CF5">
      <w:pPr>
        <w:jc w:val="center"/>
        <w:rPr>
          <w:rFonts w:ascii="Cambria" w:hAnsi="Cambria" w:cs="Arial"/>
          <w:b/>
          <w:sz w:val="20"/>
        </w:rPr>
      </w:pPr>
    </w:p>
    <w:p w14:paraId="78260D84" w14:textId="77777777" w:rsidR="009B00F2" w:rsidRPr="00960E05" w:rsidRDefault="009B00F2" w:rsidP="00CC4CF5">
      <w:pPr>
        <w:jc w:val="center"/>
        <w:rPr>
          <w:rFonts w:ascii="Cambria" w:hAnsi="Cambria" w:cs="Arial"/>
          <w:b/>
          <w:sz w:val="20"/>
        </w:rPr>
      </w:pPr>
    </w:p>
    <w:p w14:paraId="66E16EF2" w14:textId="77777777" w:rsidR="009B00F2" w:rsidRPr="00960E05" w:rsidRDefault="009B00F2" w:rsidP="00CC4CF5">
      <w:pPr>
        <w:jc w:val="center"/>
        <w:rPr>
          <w:rFonts w:ascii="Cambria" w:hAnsi="Cambria" w:cs="Arial"/>
          <w:b/>
          <w:sz w:val="20"/>
        </w:rPr>
      </w:pPr>
    </w:p>
    <w:p w14:paraId="716A2CA0" w14:textId="77777777" w:rsidR="009B00F2" w:rsidRPr="00960E05" w:rsidRDefault="009B00F2" w:rsidP="00CC4CF5">
      <w:pPr>
        <w:jc w:val="center"/>
        <w:rPr>
          <w:rFonts w:ascii="Cambria" w:hAnsi="Cambria" w:cs="Arial"/>
          <w:b/>
          <w:sz w:val="20"/>
        </w:rPr>
      </w:pPr>
    </w:p>
    <w:p w14:paraId="113EF9DA" w14:textId="77777777" w:rsidR="009B00F2" w:rsidRPr="00960E05" w:rsidRDefault="009B00F2" w:rsidP="00CC4CF5">
      <w:pPr>
        <w:jc w:val="center"/>
        <w:rPr>
          <w:rFonts w:ascii="Cambria" w:hAnsi="Cambria" w:cs="Arial"/>
          <w:b/>
          <w:sz w:val="20"/>
        </w:rPr>
      </w:pPr>
    </w:p>
    <w:p w14:paraId="3803E043" w14:textId="77777777" w:rsidR="009B00F2" w:rsidRPr="00960E05" w:rsidRDefault="009B00F2" w:rsidP="00CC4CF5">
      <w:pPr>
        <w:jc w:val="center"/>
        <w:rPr>
          <w:rFonts w:ascii="Cambria" w:hAnsi="Cambria" w:cs="Arial"/>
          <w:b/>
          <w:sz w:val="20"/>
        </w:rPr>
      </w:pPr>
      <w:r w:rsidRPr="00960E05">
        <w:rPr>
          <w:rFonts w:ascii="Cambria" w:hAnsi="Cambria" w:cs="Arial"/>
          <w:b/>
          <w:sz w:val="20"/>
        </w:rPr>
        <w:t>Slovník pojmov k Servisnej zmluve</w:t>
      </w:r>
    </w:p>
    <w:p w14:paraId="07BF296F" w14:textId="77777777" w:rsidR="009B00F2" w:rsidRPr="00960E05" w:rsidRDefault="009B00F2" w:rsidP="00CC4CF5">
      <w:pPr>
        <w:rPr>
          <w:rFonts w:ascii="Cambria" w:hAnsi="Cambria" w:cs="Arial"/>
          <w:b/>
          <w:sz w:val="20"/>
        </w:rPr>
      </w:pPr>
    </w:p>
    <w:p w14:paraId="4BA5388D" w14:textId="77777777" w:rsidR="009B00F2" w:rsidRPr="00960E05" w:rsidRDefault="009B00F2" w:rsidP="00CC4CF5">
      <w:pPr>
        <w:jc w:val="center"/>
        <w:rPr>
          <w:rFonts w:ascii="Cambria" w:hAnsi="Cambria" w:cs="Arial"/>
          <w:b/>
          <w:sz w:val="20"/>
        </w:rPr>
      </w:pPr>
    </w:p>
    <w:p w14:paraId="1C776007" w14:textId="77777777" w:rsidR="009B00F2" w:rsidRPr="00960E05" w:rsidRDefault="009B00F2" w:rsidP="00CC4CF5">
      <w:pPr>
        <w:jc w:val="center"/>
        <w:rPr>
          <w:rFonts w:ascii="Cambria" w:hAnsi="Cambria" w:cs="Arial"/>
          <w:b/>
          <w:sz w:val="20"/>
        </w:rPr>
        <w:sectPr w:rsidR="009B00F2" w:rsidRPr="00960E05" w:rsidSect="00C876C7">
          <w:footerReference w:type="even" r:id="rId8"/>
          <w:pgSz w:w="12240" w:h="15840"/>
          <w:pgMar w:top="1440" w:right="1800" w:bottom="1440" w:left="1800" w:header="708" w:footer="708" w:gutter="0"/>
          <w:cols w:space="708"/>
          <w:titlePg/>
          <w:docGrid w:linePitch="360"/>
        </w:sectPr>
      </w:pPr>
    </w:p>
    <w:p w14:paraId="2AABA81D" w14:textId="77777777" w:rsidR="009B00F2" w:rsidRPr="00960E05" w:rsidRDefault="009B00F2" w:rsidP="00CC4CF5">
      <w:pPr>
        <w:jc w:val="center"/>
        <w:rPr>
          <w:rFonts w:ascii="Cambria" w:hAnsi="Cambria" w:cs="Arial"/>
          <w:b/>
          <w:sz w:val="20"/>
        </w:rPr>
      </w:pPr>
    </w:p>
    <w:p w14:paraId="165D2386" w14:textId="77777777" w:rsidR="007419DF" w:rsidRPr="00960E05" w:rsidRDefault="007419DF" w:rsidP="00CC4CF5">
      <w:pPr>
        <w:rPr>
          <w:rFonts w:ascii="Cambria" w:hAnsi="Cambria" w:cs="Arial"/>
          <w:sz w:val="20"/>
        </w:rPr>
      </w:pPr>
    </w:p>
    <w:p w14:paraId="0E288DFF" w14:textId="77777777" w:rsidR="007419DF" w:rsidRPr="00960E05" w:rsidRDefault="007419DF" w:rsidP="00CC4CF5">
      <w:pPr>
        <w:jc w:val="both"/>
        <w:rPr>
          <w:rFonts w:ascii="Cambria" w:hAnsi="Cambria" w:cs="Arial"/>
          <w:sz w:val="20"/>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0"/>
        <w:gridCol w:w="6760"/>
      </w:tblGrid>
      <w:tr w:rsidR="007419DF" w:rsidRPr="00960E05" w14:paraId="7B4CFF87" w14:textId="77777777" w:rsidTr="00C803C6">
        <w:trPr>
          <w:tblHeader/>
        </w:trPr>
        <w:tc>
          <w:tcPr>
            <w:tcW w:w="2420" w:type="dxa"/>
            <w:tcBorders>
              <w:top w:val="single" w:sz="4" w:space="0" w:color="auto"/>
              <w:left w:val="single" w:sz="4" w:space="0" w:color="auto"/>
              <w:bottom w:val="single" w:sz="4" w:space="0" w:color="auto"/>
              <w:right w:val="single" w:sz="4" w:space="0" w:color="auto"/>
            </w:tcBorders>
            <w:shd w:val="clear" w:color="auto" w:fill="F3F3F3"/>
            <w:vAlign w:val="center"/>
          </w:tcPr>
          <w:p w14:paraId="44DC1999" w14:textId="77777777" w:rsidR="007419DF" w:rsidRPr="00960E05" w:rsidRDefault="007419DF" w:rsidP="00CC4CF5">
            <w:pPr>
              <w:spacing w:before="60" w:after="60"/>
              <w:jc w:val="center"/>
              <w:rPr>
                <w:rFonts w:ascii="Cambria" w:hAnsi="Cambria" w:cs="Arial"/>
                <w:b/>
                <w:sz w:val="20"/>
                <w:lang w:eastAsia="cs-CZ"/>
              </w:rPr>
            </w:pPr>
            <w:r w:rsidRPr="00960E05">
              <w:rPr>
                <w:rFonts w:ascii="Cambria" w:hAnsi="Cambria" w:cs="Arial"/>
                <w:b/>
                <w:sz w:val="20"/>
              </w:rPr>
              <w:t>Pojem (y) / Výraz / Skratka</w:t>
            </w:r>
          </w:p>
        </w:tc>
        <w:tc>
          <w:tcPr>
            <w:tcW w:w="6760" w:type="dxa"/>
            <w:tcBorders>
              <w:top w:val="single" w:sz="4" w:space="0" w:color="auto"/>
              <w:left w:val="single" w:sz="4" w:space="0" w:color="auto"/>
              <w:bottom w:val="single" w:sz="4" w:space="0" w:color="auto"/>
              <w:right w:val="single" w:sz="4" w:space="0" w:color="auto"/>
            </w:tcBorders>
            <w:shd w:val="clear" w:color="auto" w:fill="F3F3F3"/>
            <w:vAlign w:val="center"/>
          </w:tcPr>
          <w:p w14:paraId="4ACED1A2" w14:textId="77777777" w:rsidR="007419DF" w:rsidRPr="00960E05" w:rsidRDefault="007419DF" w:rsidP="00CC4CF5">
            <w:pPr>
              <w:spacing w:before="60" w:after="60"/>
              <w:jc w:val="center"/>
              <w:rPr>
                <w:rFonts w:ascii="Cambria" w:hAnsi="Cambria" w:cs="Arial"/>
                <w:b/>
                <w:sz w:val="20"/>
                <w:lang w:eastAsia="cs-CZ"/>
              </w:rPr>
            </w:pPr>
            <w:r w:rsidRPr="00960E05">
              <w:rPr>
                <w:rFonts w:ascii="Cambria" w:hAnsi="Cambria" w:cs="Arial"/>
                <w:b/>
                <w:sz w:val="20"/>
              </w:rPr>
              <w:t>Vysvetlenie Pojmu / Výrazu / Skratky</w:t>
            </w:r>
          </w:p>
        </w:tc>
      </w:tr>
      <w:tr w:rsidR="0036724D" w:rsidRPr="00960E05" w14:paraId="16EF719C"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53F3C96A" w14:textId="77777777" w:rsidR="002D481F" w:rsidRDefault="00C5440E">
            <w:pPr>
              <w:spacing w:before="60" w:after="20"/>
            </w:pPr>
            <w:r>
              <w:rPr>
                <w:rFonts w:ascii="Cambria" w:hAnsi="Cambria"/>
                <w:b/>
                <w:sz w:val="20"/>
              </w:rPr>
              <w:t>Akceptačný protokol</w:t>
            </w:r>
          </w:p>
        </w:tc>
        <w:tc>
          <w:tcPr>
            <w:tcW w:w="6760" w:type="dxa"/>
            <w:tcBorders>
              <w:top w:val="single" w:sz="4" w:space="0" w:color="auto"/>
              <w:left w:val="single" w:sz="4" w:space="0" w:color="auto"/>
              <w:bottom w:val="single" w:sz="4" w:space="0" w:color="auto"/>
              <w:right w:val="single" w:sz="4" w:space="0" w:color="auto"/>
            </w:tcBorders>
          </w:tcPr>
          <w:p w14:paraId="4A82CC96" w14:textId="77777777" w:rsidR="002D481F" w:rsidRDefault="00C5440E">
            <w:pPr>
              <w:spacing w:before="60" w:after="20"/>
              <w:jc w:val="both"/>
            </w:pPr>
            <w:r>
              <w:rPr>
                <w:rFonts w:ascii="Cambria" w:hAnsi="Cambria"/>
                <w:sz w:val="20"/>
              </w:rPr>
              <w:t>písomný protokol alebo elektronický záznam v IS Service Desk, ktorým objednávateľ potvrdzuje odovzdanie a akceptáciu príslušného plnenia alebo jeho časti. V protokole sa uvedie najmä predmet a rozsah plnenia, dátum odovzdania, výsledok overenia, prípadné vady, výhrady a lehoty na ich odstránenie. Podpis protokolu s výhradami nezbavuje poskytovateľa povinnosti odstrániť uvedené vady alebo splniť zostávajúce záväzky.</w:t>
            </w:r>
          </w:p>
        </w:tc>
      </w:tr>
      <w:tr w:rsidR="0036724D" w:rsidRPr="00960E05" w14:paraId="22BD28DC"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7AE61C59" w14:textId="77777777" w:rsidR="002D481F" w:rsidRDefault="00C5440E">
            <w:pPr>
              <w:spacing w:before="60" w:after="20"/>
            </w:pPr>
            <w:r>
              <w:rPr>
                <w:rFonts w:ascii="Cambria" w:hAnsi="Cambria"/>
                <w:b/>
                <w:sz w:val="20"/>
              </w:rPr>
              <w:t>Aktualizácia</w:t>
            </w:r>
          </w:p>
        </w:tc>
        <w:tc>
          <w:tcPr>
            <w:tcW w:w="6760" w:type="dxa"/>
            <w:tcBorders>
              <w:top w:val="single" w:sz="4" w:space="0" w:color="auto"/>
              <w:left w:val="single" w:sz="4" w:space="0" w:color="auto"/>
              <w:bottom w:val="single" w:sz="4" w:space="0" w:color="auto"/>
              <w:right w:val="single" w:sz="4" w:space="0" w:color="auto"/>
            </w:tcBorders>
          </w:tcPr>
          <w:p w14:paraId="68DA88C0" w14:textId="77777777" w:rsidR="002D481F" w:rsidRDefault="00C5440E">
            <w:pPr>
              <w:spacing w:before="60" w:after="20"/>
              <w:jc w:val="both"/>
            </w:pPr>
            <w:r>
              <w:rPr>
                <w:rFonts w:ascii="Cambria" w:hAnsi="Cambria"/>
                <w:sz w:val="20"/>
              </w:rPr>
              <w:t>zmena firmvéru, softvéru, operačného systému, konfiguračného nástroja alebo iného programového vybavenia, ktorou sa odstraňujú chyby alebo bezpečnostné zraniteľnosti, zvyšuje kompatibilita, spoľahlivosť alebo výkonnosť, prípadne sa dopĺňa funkcionalita. Aktualizácia zahŕňa aj opravný balíček (patch), minoritnú verziu a bezpečnostnú aktualizáciu; jej nasadenie podlieha predchádzajúcemu odsúhlaseniu objednávateľom, ak Servisná zmluva neustanovuje inak.</w:t>
            </w:r>
          </w:p>
        </w:tc>
      </w:tr>
      <w:tr w:rsidR="0036724D" w:rsidRPr="00960E05" w14:paraId="3F9C7394"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4DD5441B" w14:textId="77777777" w:rsidR="002D481F" w:rsidRDefault="00C5440E">
            <w:pPr>
              <w:spacing w:before="60" w:after="20"/>
            </w:pPr>
            <w:r>
              <w:rPr>
                <w:rFonts w:ascii="Cambria" w:hAnsi="Cambria"/>
                <w:b/>
                <w:sz w:val="20"/>
              </w:rPr>
              <w:t>Autorské dielo</w:t>
            </w:r>
          </w:p>
        </w:tc>
        <w:tc>
          <w:tcPr>
            <w:tcW w:w="6760" w:type="dxa"/>
            <w:tcBorders>
              <w:top w:val="single" w:sz="4" w:space="0" w:color="auto"/>
              <w:left w:val="single" w:sz="4" w:space="0" w:color="auto"/>
              <w:bottom w:val="single" w:sz="4" w:space="0" w:color="auto"/>
              <w:right w:val="single" w:sz="4" w:space="0" w:color="auto"/>
            </w:tcBorders>
          </w:tcPr>
          <w:p w14:paraId="09A2A4E4" w14:textId="77777777" w:rsidR="002D481F" w:rsidRDefault="00C5440E">
            <w:pPr>
              <w:spacing w:before="60" w:after="20"/>
              <w:jc w:val="both"/>
            </w:pPr>
            <w:r>
              <w:rPr>
                <w:rFonts w:ascii="Cambria" w:hAnsi="Cambria"/>
                <w:sz w:val="20"/>
              </w:rPr>
              <w:t>technická, prevádzková alebo administrátorská dokumentácia, konfiguračný podklad, prevádzkový alebo metodický postup, export konfigurácie, skript, automatizačný postup alebo iný výstup vytvorený poskytovateľom osobitne pre objednávateľa pri poskytovaní Servisných služieb, ak spĺňa znaky autorského diela podľa Autorského zákona.</w:t>
            </w:r>
          </w:p>
        </w:tc>
      </w:tr>
      <w:tr w:rsidR="0036724D" w:rsidRPr="00960E05" w14:paraId="63E3BAB8"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700AC9CE" w14:textId="77777777" w:rsidR="002D481F" w:rsidRDefault="00C5440E">
            <w:pPr>
              <w:spacing w:before="60" w:after="20"/>
            </w:pPr>
            <w:r>
              <w:rPr>
                <w:rFonts w:ascii="Cambria" w:hAnsi="Cambria"/>
                <w:b/>
                <w:sz w:val="20"/>
              </w:rPr>
              <w:t>Bezpečnostná zraniteľnosť</w:t>
            </w:r>
          </w:p>
        </w:tc>
        <w:tc>
          <w:tcPr>
            <w:tcW w:w="6760" w:type="dxa"/>
            <w:tcBorders>
              <w:top w:val="single" w:sz="4" w:space="0" w:color="auto"/>
              <w:left w:val="single" w:sz="4" w:space="0" w:color="auto"/>
              <w:bottom w:val="single" w:sz="4" w:space="0" w:color="auto"/>
              <w:right w:val="single" w:sz="4" w:space="0" w:color="auto"/>
            </w:tcBorders>
          </w:tcPr>
          <w:p w14:paraId="68ECEA41" w14:textId="77777777" w:rsidR="002D481F" w:rsidRDefault="00C5440E">
            <w:pPr>
              <w:spacing w:before="60" w:after="20"/>
              <w:jc w:val="both"/>
            </w:pPr>
            <w:r>
              <w:rPr>
                <w:rFonts w:ascii="Cambria" w:hAnsi="Cambria"/>
                <w:sz w:val="20"/>
              </w:rPr>
              <w:t>slabé miesto alebo nedostatok hardvéru, firmvéru, softvéru, konfigurácie alebo prevádzkového postupu, ktorý môže byť zneužitý na narušenie dôvernosti, integrity, dostupnosti alebo bezpečnej prevádzky Diela alebo IKT infraštruktúry objednávateľa. Za závažnú bezpečnostnú zraniteľnosť sa považuje zraniteľnosť s hodnotením CVSSv3 najmenej 7,0 alebo zraniteľnosť označená výrobcom ako závažná, vysoká alebo kritická.</w:t>
            </w:r>
          </w:p>
        </w:tc>
      </w:tr>
      <w:tr w:rsidR="0036724D" w:rsidRPr="00960E05" w14:paraId="3C78F4E5"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327F0F65" w14:textId="77777777" w:rsidR="002D481F" w:rsidRDefault="00C5440E">
            <w:pPr>
              <w:spacing w:before="60" w:after="20"/>
            </w:pPr>
            <w:r>
              <w:rPr>
                <w:rFonts w:ascii="Cambria" w:hAnsi="Cambria"/>
                <w:b/>
                <w:sz w:val="20"/>
              </w:rPr>
              <w:t>CVSS / CVSSv3</w:t>
            </w:r>
          </w:p>
        </w:tc>
        <w:tc>
          <w:tcPr>
            <w:tcW w:w="6760" w:type="dxa"/>
            <w:tcBorders>
              <w:top w:val="single" w:sz="4" w:space="0" w:color="auto"/>
              <w:left w:val="single" w:sz="4" w:space="0" w:color="auto"/>
              <w:bottom w:val="single" w:sz="4" w:space="0" w:color="auto"/>
              <w:right w:val="single" w:sz="4" w:space="0" w:color="auto"/>
            </w:tcBorders>
          </w:tcPr>
          <w:p w14:paraId="4F7E5468" w14:textId="77777777" w:rsidR="002D481F" w:rsidRDefault="00C5440E">
            <w:pPr>
              <w:spacing w:before="60" w:after="20"/>
              <w:jc w:val="both"/>
            </w:pPr>
            <w:r>
              <w:rPr>
                <w:rFonts w:ascii="Cambria" w:hAnsi="Cambria"/>
                <w:sz w:val="20"/>
              </w:rPr>
              <w:t>Common Vulnerability Scoring System, štandardizovaný systém číselného hodnotenia závažnosti bezpečnostných zraniteľností na stupnici 0,0 až 10,0; CVSSv3 znamená verziu 3 tohto systému.</w:t>
            </w:r>
          </w:p>
        </w:tc>
      </w:tr>
      <w:tr w:rsidR="0036724D" w:rsidRPr="00960E05" w14:paraId="7AFC8926"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0757CA3D" w14:textId="77777777" w:rsidR="002D481F" w:rsidRDefault="00C5440E">
            <w:pPr>
              <w:spacing w:before="60" w:after="20"/>
            </w:pPr>
            <w:r>
              <w:rPr>
                <w:rFonts w:ascii="Cambria" w:hAnsi="Cambria"/>
                <w:b/>
                <w:sz w:val="20"/>
              </w:rPr>
              <w:t>Dielo / predmet Servisnej zmluvy</w:t>
            </w:r>
          </w:p>
        </w:tc>
        <w:tc>
          <w:tcPr>
            <w:tcW w:w="6760" w:type="dxa"/>
            <w:tcBorders>
              <w:top w:val="single" w:sz="4" w:space="0" w:color="auto"/>
              <w:left w:val="single" w:sz="4" w:space="0" w:color="auto"/>
              <w:bottom w:val="single" w:sz="4" w:space="0" w:color="auto"/>
              <w:right w:val="single" w:sz="4" w:space="0" w:color="auto"/>
            </w:tcBorders>
          </w:tcPr>
          <w:p w14:paraId="4DF63FDB" w14:textId="77777777" w:rsidR="002D481F" w:rsidRDefault="00C5440E">
            <w:pPr>
              <w:spacing w:before="60" w:after="20"/>
              <w:jc w:val="both"/>
            </w:pPr>
            <w:r>
              <w:rPr>
                <w:rFonts w:ascii="Cambria" w:hAnsi="Cambria"/>
                <w:sz w:val="20"/>
              </w:rPr>
              <w:t>rozšírená LAN sieť dodaná objednávateľovi na základe zmluvy o dielo uzatvorenej súčasne so Servisnou zmluvou, vrátane dodaných a nainštalovaných zariadení, ich modulov a príslušenstva, firmvéru, operačných systémov, softvéru, licencií, konfigurácií, inštalačného materiálu a dokumentácie, v rozsahu, v akom sú predmetom poskytovania Servisných služieb.</w:t>
            </w:r>
          </w:p>
        </w:tc>
      </w:tr>
      <w:tr w:rsidR="0036724D" w:rsidRPr="00960E05" w14:paraId="4B8FC566"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452679C8" w14:textId="77777777" w:rsidR="002D481F" w:rsidRDefault="00C5440E">
            <w:pPr>
              <w:spacing w:before="60" w:after="20"/>
            </w:pPr>
            <w:r>
              <w:rPr>
                <w:rFonts w:ascii="Cambria" w:hAnsi="Cambria"/>
                <w:b/>
                <w:sz w:val="20"/>
              </w:rPr>
              <w:t>Doba odozvy</w:t>
            </w:r>
          </w:p>
        </w:tc>
        <w:tc>
          <w:tcPr>
            <w:tcW w:w="6760" w:type="dxa"/>
            <w:tcBorders>
              <w:top w:val="single" w:sz="4" w:space="0" w:color="auto"/>
              <w:left w:val="single" w:sz="4" w:space="0" w:color="auto"/>
              <w:bottom w:val="single" w:sz="4" w:space="0" w:color="auto"/>
              <w:right w:val="single" w:sz="4" w:space="0" w:color="auto"/>
            </w:tcBorders>
          </w:tcPr>
          <w:p w14:paraId="701AB49C" w14:textId="77777777" w:rsidR="002D481F" w:rsidRDefault="00C5440E">
            <w:pPr>
              <w:spacing w:before="60" w:after="20"/>
              <w:jc w:val="both"/>
            </w:pPr>
            <w:r>
              <w:rPr>
                <w:rFonts w:ascii="Cambria" w:hAnsi="Cambria"/>
                <w:sz w:val="20"/>
              </w:rPr>
              <w:t>najdlhšie prípustné časové obdobie od okamihu aktivácie služby podľa Prílohy č. 2, najmä od nahlásenia alebo zaevidovania incidentu, doručenia Žiadosti, prípadne od zistenia alebo diagnostikovania incidentu poskytovateľom, do preukázateľného začatia vykonávania príslušnej činnosti poskytovateľom. Samotné automatické alebo administratívne potvrdenie prijatia požiadavky sa nepovažuje za začatie činnosti.</w:t>
            </w:r>
          </w:p>
        </w:tc>
      </w:tr>
      <w:tr w:rsidR="0036724D" w:rsidRPr="00960E05" w14:paraId="5A0E192D"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6594B64A" w14:textId="77777777" w:rsidR="002D481F" w:rsidRDefault="00C5440E">
            <w:pPr>
              <w:spacing w:before="60" w:after="20"/>
            </w:pPr>
            <w:r>
              <w:rPr>
                <w:rFonts w:ascii="Cambria" w:hAnsi="Cambria"/>
                <w:b/>
                <w:sz w:val="20"/>
              </w:rPr>
              <w:t>Dodané a nainštalované zariadenia</w:t>
            </w:r>
          </w:p>
        </w:tc>
        <w:tc>
          <w:tcPr>
            <w:tcW w:w="6760" w:type="dxa"/>
            <w:tcBorders>
              <w:top w:val="single" w:sz="4" w:space="0" w:color="auto"/>
              <w:left w:val="single" w:sz="4" w:space="0" w:color="auto"/>
              <w:bottom w:val="single" w:sz="4" w:space="0" w:color="auto"/>
              <w:right w:val="single" w:sz="4" w:space="0" w:color="auto"/>
            </w:tcBorders>
          </w:tcPr>
          <w:p w14:paraId="152225BA" w14:textId="77777777" w:rsidR="002D481F" w:rsidRDefault="00C5440E">
            <w:pPr>
              <w:spacing w:before="60" w:after="20"/>
              <w:jc w:val="both"/>
            </w:pPr>
            <w:r>
              <w:rPr>
                <w:rFonts w:ascii="Cambria" w:hAnsi="Cambria"/>
                <w:sz w:val="20"/>
              </w:rPr>
              <w:t>všetky hardvérové zariadenia, sieťové a bezpečnostné prvky, servery, moduly, napájacie a iné komponenty, príslušenstvo a súvisiace programové vybavenie, ktoré tvoria Dielo alebo zabezpečujú jeho riadnu prevádzku, vrátane ich firmvéru, operačných systémov, softvéru na správu, licencií, konfigurácií a dokumentácie.</w:t>
            </w:r>
          </w:p>
        </w:tc>
      </w:tr>
      <w:tr w:rsidR="0036724D" w:rsidRPr="00960E05" w14:paraId="13910905"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69E8AD8F" w14:textId="77777777" w:rsidR="002D481F" w:rsidRDefault="00C5440E">
            <w:pPr>
              <w:spacing w:before="60" w:after="20"/>
            </w:pPr>
            <w:r>
              <w:rPr>
                <w:rFonts w:ascii="Cambria" w:hAnsi="Cambria"/>
                <w:b/>
                <w:sz w:val="20"/>
              </w:rPr>
              <w:lastRenderedPageBreak/>
              <w:t>Dokumentácia</w:t>
            </w:r>
          </w:p>
        </w:tc>
        <w:tc>
          <w:tcPr>
            <w:tcW w:w="6760" w:type="dxa"/>
            <w:tcBorders>
              <w:top w:val="single" w:sz="4" w:space="0" w:color="auto"/>
              <w:left w:val="single" w:sz="4" w:space="0" w:color="auto"/>
              <w:bottom w:val="single" w:sz="4" w:space="0" w:color="auto"/>
              <w:right w:val="single" w:sz="4" w:space="0" w:color="auto"/>
            </w:tcBorders>
          </w:tcPr>
          <w:p w14:paraId="1E573B77" w14:textId="77777777" w:rsidR="002D481F" w:rsidRDefault="00C5440E">
            <w:pPr>
              <w:spacing w:before="60" w:after="20"/>
              <w:jc w:val="both"/>
            </w:pPr>
            <w:r>
              <w:rPr>
                <w:rFonts w:ascii="Cambria" w:hAnsi="Cambria"/>
                <w:sz w:val="20"/>
              </w:rPr>
              <w:t>projektová, technická, prevádzková, konfiguračná, bezpečnostná, administrátorská, používateľská, servisná a iná dokumentácia súvisiaca s Dielom alebo Servisnými službami, vrátane dokumentácie skutočného vyhotovenia, konfiguračných podkladov a exportov, opisov nastavení a pravidiel, evidencií zariadení a licencií, postupov, protokolov, správ a ich aktualizácií.</w:t>
            </w:r>
          </w:p>
        </w:tc>
      </w:tr>
      <w:tr w:rsidR="0036724D" w:rsidRPr="00960E05" w14:paraId="1992D8FA"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3E13AE8D" w14:textId="77777777" w:rsidR="002D481F" w:rsidRDefault="00C5440E">
            <w:pPr>
              <w:spacing w:before="60" w:after="20"/>
            </w:pPr>
            <w:r>
              <w:rPr>
                <w:rFonts w:ascii="Cambria" w:hAnsi="Cambria"/>
                <w:b/>
                <w:sz w:val="20"/>
              </w:rPr>
              <w:t>Dostupnosť služby</w:t>
            </w:r>
          </w:p>
        </w:tc>
        <w:tc>
          <w:tcPr>
            <w:tcW w:w="6760" w:type="dxa"/>
            <w:tcBorders>
              <w:top w:val="single" w:sz="4" w:space="0" w:color="auto"/>
              <w:left w:val="single" w:sz="4" w:space="0" w:color="auto"/>
              <w:bottom w:val="single" w:sz="4" w:space="0" w:color="auto"/>
              <w:right w:val="single" w:sz="4" w:space="0" w:color="auto"/>
            </w:tcBorders>
          </w:tcPr>
          <w:p w14:paraId="141C37BC" w14:textId="77777777" w:rsidR="002D481F" w:rsidRDefault="00C5440E">
            <w:pPr>
              <w:spacing w:before="60" w:after="20"/>
              <w:jc w:val="both"/>
            </w:pPr>
            <w:r>
              <w:rPr>
                <w:rFonts w:ascii="Cambria" w:hAnsi="Cambria"/>
                <w:sz w:val="20"/>
              </w:rPr>
              <w:t>časové obdobie uvedené pri príslušnej činnosti v Prílohe č. 2, počas ktorého je poskytovateľ povinný byť pripravený prijať aktiváciu služby a poskytovať príslušnú Servisnú službu. Ak Príloha č. 2 ustanovuje, že Lehota služby pokračuje aj po skončení pracovnej doby alebo Dostupnosti služby, jej plynutie sa skončením tohto obdobia neprerušuje.</w:t>
            </w:r>
          </w:p>
        </w:tc>
      </w:tr>
      <w:tr w:rsidR="0036724D" w:rsidRPr="00960E05" w14:paraId="5B00AC99"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319AB2B5" w14:textId="77777777" w:rsidR="002D481F" w:rsidRDefault="00C5440E">
            <w:pPr>
              <w:spacing w:before="60" w:after="20"/>
            </w:pPr>
            <w:r>
              <w:rPr>
                <w:rFonts w:ascii="Cambria" w:hAnsi="Cambria"/>
                <w:b/>
                <w:sz w:val="20"/>
              </w:rPr>
              <w:t>Externý používateľ</w:t>
            </w:r>
          </w:p>
        </w:tc>
        <w:tc>
          <w:tcPr>
            <w:tcW w:w="6760" w:type="dxa"/>
            <w:tcBorders>
              <w:top w:val="single" w:sz="4" w:space="0" w:color="auto"/>
              <w:left w:val="single" w:sz="4" w:space="0" w:color="auto"/>
              <w:bottom w:val="single" w:sz="4" w:space="0" w:color="auto"/>
              <w:right w:val="single" w:sz="4" w:space="0" w:color="auto"/>
            </w:tcBorders>
          </w:tcPr>
          <w:p w14:paraId="16C692F6" w14:textId="77777777" w:rsidR="002D481F" w:rsidRDefault="00C5440E">
            <w:pPr>
              <w:spacing w:before="60" w:after="20"/>
              <w:jc w:val="both"/>
            </w:pPr>
            <w:r>
              <w:rPr>
                <w:rFonts w:ascii="Cambria" w:hAnsi="Cambria"/>
                <w:sz w:val="20"/>
              </w:rPr>
              <w:t>fyzická osoba, prostredníctvom ktorej poskytovateľ plní Servisnú zmluvu a ktorej objednávateľ v súlade so svojimi vnútornými predpismi schválil a zriadil prístupový účet na vzdialený prístup k určenej časti IKT infraštruktúry objednávateľa.</w:t>
            </w:r>
          </w:p>
        </w:tc>
      </w:tr>
      <w:tr w:rsidR="0036724D" w:rsidRPr="00960E05" w14:paraId="63D741DF"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43EA637E" w14:textId="77777777" w:rsidR="002D481F" w:rsidRDefault="00C5440E">
            <w:pPr>
              <w:spacing w:before="60" w:after="20"/>
            </w:pPr>
            <w:r>
              <w:rPr>
                <w:rFonts w:ascii="Cambria" w:hAnsi="Cambria"/>
                <w:b/>
                <w:sz w:val="20"/>
              </w:rPr>
              <w:t>Firmvér</w:t>
            </w:r>
          </w:p>
        </w:tc>
        <w:tc>
          <w:tcPr>
            <w:tcW w:w="6760" w:type="dxa"/>
            <w:tcBorders>
              <w:top w:val="single" w:sz="4" w:space="0" w:color="auto"/>
              <w:left w:val="single" w:sz="4" w:space="0" w:color="auto"/>
              <w:bottom w:val="single" w:sz="4" w:space="0" w:color="auto"/>
              <w:right w:val="single" w:sz="4" w:space="0" w:color="auto"/>
            </w:tcBorders>
          </w:tcPr>
          <w:p w14:paraId="11F7A08F" w14:textId="77777777" w:rsidR="002D481F" w:rsidRDefault="00C5440E">
            <w:pPr>
              <w:spacing w:before="60" w:after="20"/>
              <w:jc w:val="both"/>
            </w:pPr>
            <w:r>
              <w:rPr>
                <w:rFonts w:ascii="Cambria" w:hAnsi="Cambria"/>
                <w:sz w:val="20"/>
              </w:rPr>
              <w:t>programové vybavenie vložené do zariadenia alebo jeho modulu, ktoré riadi jeho základné funkcie a prevádzku a ktoré sa spravidla aktualizuje alebo mení prostredníctvom nástrojov výrobcu.</w:t>
            </w:r>
          </w:p>
        </w:tc>
      </w:tr>
      <w:tr w:rsidR="0036724D" w:rsidRPr="00960E05" w14:paraId="111F8BF3"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5407037E" w14:textId="77777777" w:rsidR="002D481F" w:rsidRDefault="00C5440E">
            <w:pPr>
              <w:spacing w:before="60" w:after="20"/>
            </w:pPr>
            <w:r>
              <w:rPr>
                <w:rFonts w:ascii="Cambria" w:hAnsi="Cambria"/>
                <w:b/>
                <w:sz w:val="20"/>
              </w:rPr>
              <w:t>Chyba</w:t>
            </w:r>
          </w:p>
        </w:tc>
        <w:tc>
          <w:tcPr>
            <w:tcW w:w="6760" w:type="dxa"/>
            <w:tcBorders>
              <w:top w:val="single" w:sz="4" w:space="0" w:color="auto"/>
              <w:left w:val="single" w:sz="4" w:space="0" w:color="auto"/>
              <w:bottom w:val="single" w:sz="4" w:space="0" w:color="auto"/>
              <w:right w:val="single" w:sz="4" w:space="0" w:color="auto"/>
            </w:tcBorders>
          </w:tcPr>
          <w:p w14:paraId="2C1DDFCD" w14:textId="77777777" w:rsidR="002D481F" w:rsidRDefault="00C5440E">
            <w:pPr>
              <w:spacing w:before="60" w:after="20"/>
              <w:jc w:val="both"/>
            </w:pPr>
            <w:r>
              <w:rPr>
                <w:rFonts w:ascii="Cambria" w:hAnsi="Cambria"/>
                <w:sz w:val="20"/>
              </w:rPr>
              <w:t>funkčná, technická, konfiguračná, výkonnostná alebo bezpečnostná odchýlka Diela alebo jeho komponentu od požiadaviek Servisnej zmluvy, zmluvy o dielo, Dokumentácie, schválenej konfigurácie alebo parametrov výrobcu. Chyba môže byť príčinou Incidentu a súčasne môže predstavovať Vadu, ak spĺňa podmienky zodpovednosti za vady.</w:t>
            </w:r>
          </w:p>
        </w:tc>
      </w:tr>
      <w:tr w:rsidR="0036724D" w:rsidRPr="00960E05" w14:paraId="0D1E7CD3"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02489FE7" w14:textId="77777777" w:rsidR="002D481F" w:rsidRDefault="00C5440E">
            <w:pPr>
              <w:spacing w:before="60" w:after="20"/>
            </w:pPr>
            <w:r>
              <w:rPr>
                <w:rFonts w:ascii="Cambria" w:hAnsi="Cambria"/>
                <w:b/>
                <w:sz w:val="20"/>
              </w:rPr>
              <w:t>IKT</w:t>
            </w:r>
          </w:p>
        </w:tc>
        <w:tc>
          <w:tcPr>
            <w:tcW w:w="6760" w:type="dxa"/>
            <w:tcBorders>
              <w:top w:val="single" w:sz="4" w:space="0" w:color="auto"/>
              <w:left w:val="single" w:sz="4" w:space="0" w:color="auto"/>
              <w:bottom w:val="single" w:sz="4" w:space="0" w:color="auto"/>
              <w:right w:val="single" w:sz="4" w:space="0" w:color="auto"/>
            </w:tcBorders>
          </w:tcPr>
          <w:p w14:paraId="372B245B" w14:textId="77777777" w:rsidR="002D481F" w:rsidRDefault="00C5440E">
            <w:pPr>
              <w:spacing w:before="60" w:after="20"/>
              <w:jc w:val="both"/>
            </w:pPr>
            <w:r>
              <w:rPr>
                <w:rFonts w:ascii="Cambria" w:hAnsi="Cambria"/>
                <w:sz w:val="20"/>
              </w:rPr>
              <w:t>informačné a komunikačné technológie.</w:t>
            </w:r>
          </w:p>
        </w:tc>
      </w:tr>
      <w:tr w:rsidR="0036724D" w:rsidRPr="00960E05" w14:paraId="7918C62E"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65A752E3" w14:textId="77777777" w:rsidR="002D481F" w:rsidRDefault="00C5440E">
            <w:pPr>
              <w:spacing w:before="60" w:after="20"/>
            </w:pPr>
            <w:r>
              <w:rPr>
                <w:rFonts w:ascii="Cambria" w:hAnsi="Cambria"/>
                <w:b/>
                <w:sz w:val="20"/>
              </w:rPr>
              <w:t>IKT infraštruktúra</w:t>
            </w:r>
          </w:p>
        </w:tc>
        <w:tc>
          <w:tcPr>
            <w:tcW w:w="6760" w:type="dxa"/>
            <w:tcBorders>
              <w:top w:val="single" w:sz="4" w:space="0" w:color="auto"/>
              <w:left w:val="single" w:sz="4" w:space="0" w:color="auto"/>
              <w:bottom w:val="single" w:sz="4" w:space="0" w:color="auto"/>
              <w:right w:val="single" w:sz="4" w:space="0" w:color="auto"/>
            </w:tcBorders>
          </w:tcPr>
          <w:p w14:paraId="5F23BD0F" w14:textId="77777777" w:rsidR="002D481F" w:rsidRDefault="00C5440E">
            <w:pPr>
              <w:spacing w:before="60" w:after="20"/>
              <w:jc w:val="both"/>
            </w:pPr>
            <w:r>
              <w:rPr>
                <w:rFonts w:ascii="Cambria" w:hAnsi="Cambria"/>
                <w:sz w:val="20"/>
              </w:rPr>
              <w:t>súbor hardvérových, softvérových, sieťových, komunikačných, virtualizačných a bezpečnostných prostriedkov objednávateľa, ich konfigurácií, prepojení a súvisiacich služieb, ktoré slúžia na prevádzku informačných systémov a poskytovanie IT služieb.</w:t>
            </w:r>
          </w:p>
        </w:tc>
      </w:tr>
      <w:tr w:rsidR="0036724D" w:rsidRPr="00960E05" w14:paraId="51F6E154"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4677DBD4" w14:textId="77777777" w:rsidR="002D481F" w:rsidRDefault="00C5440E">
            <w:pPr>
              <w:spacing w:before="60" w:after="20"/>
            </w:pPr>
            <w:r>
              <w:rPr>
                <w:rFonts w:ascii="Cambria" w:hAnsi="Cambria"/>
                <w:b/>
                <w:sz w:val="20"/>
              </w:rPr>
              <w:t>Incident / prevádzkový incident</w:t>
            </w:r>
          </w:p>
        </w:tc>
        <w:tc>
          <w:tcPr>
            <w:tcW w:w="6760" w:type="dxa"/>
            <w:tcBorders>
              <w:top w:val="single" w:sz="4" w:space="0" w:color="auto"/>
              <w:left w:val="single" w:sz="4" w:space="0" w:color="auto"/>
              <w:bottom w:val="single" w:sz="4" w:space="0" w:color="auto"/>
              <w:right w:val="single" w:sz="4" w:space="0" w:color="auto"/>
            </w:tcBorders>
          </w:tcPr>
          <w:p w14:paraId="7F393D70" w14:textId="77777777" w:rsidR="002D481F" w:rsidRDefault="00C5440E">
            <w:pPr>
              <w:spacing w:before="60" w:after="20"/>
              <w:jc w:val="both"/>
            </w:pPr>
            <w:r>
              <w:rPr>
                <w:rFonts w:ascii="Cambria" w:hAnsi="Cambria"/>
                <w:sz w:val="20"/>
              </w:rPr>
              <w:t>neplánovaná udalosť súvisiaca s prevádzkou Diela alebo jeho väzbou na IKT infraštruktúru objednávateľa, ktorá spôsobila alebo môže spôsobiť výpadok, obmedzenie alebo zníženie funkčnosti, dostupnosti, bezpečnosti, výkonnosti, priepustnosti alebo kvality poskytovaných sieťových alebo IT služieb. Incidentom môže byť najmä prejav Chyby, Vady alebo Poruchy; bežná Žiadosť alebo Požiadavka na zmenu nie je Incidentom.</w:t>
            </w:r>
          </w:p>
        </w:tc>
      </w:tr>
      <w:tr w:rsidR="0036724D" w:rsidRPr="00960E05" w14:paraId="6F91AC05"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072F463C" w14:textId="77777777" w:rsidR="002D481F" w:rsidRDefault="00C5440E">
            <w:pPr>
              <w:spacing w:before="60" w:after="20"/>
            </w:pPr>
            <w:r>
              <w:rPr>
                <w:rFonts w:ascii="Cambria" w:hAnsi="Cambria"/>
                <w:b/>
                <w:sz w:val="20"/>
              </w:rPr>
              <w:t>IS Service Desk</w:t>
            </w:r>
          </w:p>
        </w:tc>
        <w:tc>
          <w:tcPr>
            <w:tcW w:w="6760" w:type="dxa"/>
            <w:tcBorders>
              <w:top w:val="single" w:sz="4" w:space="0" w:color="auto"/>
              <w:left w:val="single" w:sz="4" w:space="0" w:color="auto"/>
              <w:bottom w:val="single" w:sz="4" w:space="0" w:color="auto"/>
              <w:right w:val="single" w:sz="4" w:space="0" w:color="auto"/>
            </w:tcBorders>
          </w:tcPr>
          <w:p w14:paraId="3BA622CB" w14:textId="77777777" w:rsidR="002D481F" w:rsidRDefault="00C5440E">
            <w:pPr>
              <w:spacing w:before="60" w:after="20"/>
              <w:jc w:val="both"/>
            </w:pPr>
            <w:r>
              <w:rPr>
                <w:rFonts w:ascii="Cambria" w:hAnsi="Cambria"/>
                <w:sz w:val="20"/>
              </w:rPr>
              <w:t>informačný systém objednávateľa určený najmä na nahlasovanie, evidenciu, klasifikáciu, prideľovanie, sledovanie a uzatváranie Incidentov, Chýb, Vád, Žiadostí a Požiadaviek na zmenu, ako aj na zaznamenávanie komunikácie a rozhodujúcich časových údajov pri poskytovaní Servisných služieb. Ak IS Service Desk nie je dostupný, použije sa iný vopred dohodnutý komunikačný kanál a záznam sa do IS Service Desk doplní bez zbytočného odkladu.</w:t>
            </w:r>
          </w:p>
        </w:tc>
      </w:tr>
      <w:tr w:rsidR="0036724D" w:rsidRPr="00960E05" w14:paraId="7CD08B30"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428139B2" w14:textId="77777777" w:rsidR="002D481F" w:rsidRDefault="00C5440E">
            <w:pPr>
              <w:spacing w:before="60" w:after="20"/>
            </w:pPr>
            <w:r>
              <w:rPr>
                <w:rFonts w:ascii="Cambria" w:hAnsi="Cambria"/>
                <w:b/>
                <w:sz w:val="20"/>
              </w:rPr>
              <w:t>Komponent IT infraštruktúry</w:t>
            </w:r>
          </w:p>
        </w:tc>
        <w:tc>
          <w:tcPr>
            <w:tcW w:w="6760" w:type="dxa"/>
            <w:tcBorders>
              <w:top w:val="single" w:sz="4" w:space="0" w:color="auto"/>
              <w:left w:val="single" w:sz="4" w:space="0" w:color="auto"/>
              <w:bottom w:val="single" w:sz="4" w:space="0" w:color="auto"/>
              <w:right w:val="single" w:sz="4" w:space="0" w:color="auto"/>
            </w:tcBorders>
          </w:tcPr>
          <w:p w14:paraId="728F417F" w14:textId="77777777" w:rsidR="002D481F" w:rsidRDefault="00C5440E">
            <w:pPr>
              <w:spacing w:before="60" w:after="20"/>
              <w:jc w:val="both"/>
            </w:pPr>
            <w:r>
              <w:rPr>
                <w:rFonts w:ascii="Cambria" w:hAnsi="Cambria"/>
                <w:sz w:val="20"/>
              </w:rPr>
              <w:t>samostatné IT zariadenie alebo jeho vymeniteľná či funkčná časť, najmä sieťový alebo bezpečnostný prvok, server, modul, napájací zdroj, disk, karta, optický prvok, operačný systém, firmvér, softvér na správu alebo iný prvok potrebný na riadnu prevádzku Diela.</w:t>
            </w:r>
          </w:p>
        </w:tc>
      </w:tr>
      <w:tr w:rsidR="0036724D" w:rsidRPr="00960E05" w14:paraId="7FA7CB2F"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6778998F" w14:textId="77777777" w:rsidR="002D481F" w:rsidRDefault="00C5440E">
            <w:pPr>
              <w:spacing w:before="60" w:after="20"/>
            </w:pPr>
            <w:r>
              <w:rPr>
                <w:rFonts w:ascii="Cambria" w:hAnsi="Cambria"/>
                <w:b/>
                <w:sz w:val="20"/>
              </w:rPr>
              <w:t>Konfigurácia / konfiguračná zmena</w:t>
            </w:r>
          </w:p>
        </w:tc>
        <w:tc>
          <w:tcPr>
            <w:tcW w:w="6760" w:type="dxa"/>
            <w:tcBorders>
              <w:top w:val="single" w:sz="4" w:space="0" w:color="auto"/>
              <w:left w:val="single" w:sz="4" w:space="0" w:color="auto"/>
              <w:bottom w:val="single" w:sz="4" w:space="0" w:color="auto"/>
              <w:right w:val="single" w:sz="4" w:space="0" w:color="auto"/>
            </w:tcBorders>
          </w:tcPr>
          <w:p w14:paraId="18A7FD29" w14:textId="77777777" w:rsidR="002D481F" w:rsidRDefault="00C5440E">
            <w:pPr>
              <w:spacing w:before="60" w:after="20"/>
              <w:jc w:val="both"/>
            </w:pPr>
            <w:r>
              <w:rPr>
                <w:rFonts w:ascii="Cambria" w:hAnsi="Cambria"/>
                <w:sz w:val="20"/>
              </w:rPr>
              <w:t>súbor nastavení, parametrov, pravidiel, politík, prepojení a logických väzieb zariadenia alebo softvéru. Konfiguračná zmena je zmena takéhoto nastavenia vykonaná na základe schváleného postupu; sama osebe nemení rozsah ani cenu Servisnej zmluvy a nezakladá nárok na plnenie nad jej rámec.</w:t>
            </w:r>
          </w:p>
        </w:tc>
      </w:tr>
      <w:tr w:rsidR="0036724D" w:rsidRPr="00960E05" w14:paraId="68E324E3"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632ABA3D" w14:textId="77777777" w:rsidR="002D481F" w:rsidRDefault="00C5440E">
            <w:pPr>
              <w:spacing w:before="60" w:after="20"/>
            </w:pPr>
            <w:r>
              <w:rPr>
                <w:rFonts w:ascii="Cambria" w:hAnsi="Cambria"/>
                <w:b/>
                <w:sz w:val="20"/>
              </w:rPr>
              <w:lastRenderedPageBreak/>
              <w:t>LAN</w:t>
            </w:r>
          </w:p>
        </w:tc>
        <w:tc>
          <w:tcPr>
            <w:tcW w:w="6760" w:type="dxa"/>
            <w:tcBorders>
              <w:top w:val="single" w:sz="4" w:space="0" w:color="auto"/>
              <w:left w:val="single" w:sz="4" w:space="0" w:color="auto"/>
              <w:bottom w:val="single" w:sz="4" w:space="0" w:color="auto"/>
              <w:right w:val="single" w:sz="4" w:space="0" w:color="auto"/>
            </w:tcBorders>
          </w:tcPr>
          <w:p w14:paraId="7937B336" w14:textId="77777777" w:rsidR="002D481F" w:rsidRDefault="00C5440E">
            <w:pPr>
              <w:spacing w:before="60" w:after="20"/>
              <w:jc w:val="both"/>
            </w:pPr>
            <w:r>
              <w:rPr>
                <w:rFonts w:ascii="Cambria" w:hAnsi="Cambria"/>
                <w:sz w:val="20"/>
              </w:rPr>
              <w:t>Local Area Network, lokálna počítačová sieť objednávateľa tvorená aktívnymi a pasívnymi sieťovými prvkami, ich programovým vybavením, konfiguráciami a vzájomnými prepojeniami v určených priestoroch alebo lokalitách objednávateľa.</w:t>
            </w:r>
          </w:p>
        </w:tc>
      </w:tr>
      <w:tr w:rsidR="0036724D" w:rsidRPr="00960E05" w14:paraId="1CEC4647"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6D0B057C" w14:textId="77777777" w:rsidR="002D481F" w:rsidRDefault="00C5440E">
            <w:pPr>
              <w:spacing w:before="60" w:after="20"/>
            </w:pPr>
            <w:r>
              <w:rPr>
                <w:rFonts w:ascii="Cambria" w:hAnsi="Cambria"/>
                <w:b/>
                <w:sz w:val="20"/>
              </w:rPr>
              <w:t>Lehota služby</w:t>
            </w:r>
          </w:p>
        </w:tc>
        <w:tc>
          <w:tcPr>
            <w:tcW w:w="6760" w:type="dxa"/>
            <w:tcBorders>
              <w:top w:val="single" w:sz="4" w:space="0" w:color="auto"/>
              <w:left w:val="single" w:sz="4" w:space="0" w:color="auto"/>
              <w:bottom w:val="single" w:sz="4" w:space="0" w:color="auto"/>
              <w:right w:val="single" w:sz="4" w:space="0" w:color="auto"/>
            </w:tcBorders>
          </w:tcPr>
          <w:p w14:paraId="5ADE4AE6" w14:textId="77777777" w:rsidR="002D481F" w:rsidRDefault="00C5440E">
            <w:pPr>
              <w:spacing w:before="60" w:after="20"/>
              <w:jc w:val="both"/>
            </w:pPr>
            <w:r>
              <w:rPr>
                <w:rFonts w:ascii="Cambria" w:hAnsi="Cambria"/>
                <w:sz w:val="20"/>
              </w:rPr>
              <w:t>najdlhšie prípustné časové obdobie od okamihu aktivácie služby podľa Prílohy č. 2 do riadneho dokončenia požadovanej činnosti a dosiahnutia výsledku stanoveného Servisnou zmluvou. Pri riešení Incidentu sa za dodržanie Lehoty služby považuje aj včasné nasadenie Náhradného riešenia, ak ho Servisná zmluva pripúšťa; tým nie je dotknutá povinnosť poskytovateľa odstrániť príčinu Incidentu a dodať trvalé riešenie v príslušnej dodatočnej lehote.</w:t>
            </w:r>
          </w:p>
        </w:tc>
      </w:tr>
      <w:tr w:rsidR="0036724D" w:rsidRPr="00960E05" w14:paraId="464F17AB"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2F50DAC6" w14:textId="77777777" w:rsidR="002D481F" w:rsidRDefault="00C5440E">
            <w:pPr>
              <w:spacing w:before="60" w:after="20"/>
            </w:pPr>
            <w:r>
              <w:rPr>
                <w:rFonts w:ascii="Cambria" w:hAnsi="Cambria"/>
                <w:b/>
                <w:sz w:val="20"/>
              </w:rPr>
              <w:t>Nahlásenie incidentu alebo Žiadosti</w:t>
            </w:r>
          </w:p>
        </w:tc>
        <w:tc>
          <w:tcPr>
            <w:tcW w:w="6760" w:type="dxa"/>
            <w:tcBorders>
              <w:top w:val="single" w:sz="4" w:space="0" w:color="auto"/>
              <w:left w:val="single" w:sz="4" w:space="0" w:color="auto"/>
              <w:bottom w:val="single" w:sz="4" w:space="0" w:color="auto"/>
              <w:right w:val="single" w:sz="4" w:space="0" w:color="auto"/>
            </w:tcBorders>
          </w:tcPr>
          <w:p w14:paraId="4BE5B49F" w14:textId="77777777" w:rsidR="002D481F" w:rsidRDefault="00C5440E">
            <w:pPr>
              <w:spacing w:before="60" w:after="20"/>
              <w:jc w:val="both"/>
            </w:pPr>
            <w:r>
              <w:rPr>
                <w:rFonts w:ascii="Cambria" w:hAnsi="Cambria"/>
                <w:sz w:val="20"/>
              </w:rPr>
              <w:t>okamih preukázateľného zaevidovania Incidentu alebo Žiadosti v IS Service Desk; pri použití dohodnutého náhradného komunikačného kanála okamih doručenia správy poskytovateľovi. Ak Incident zistí alebo diagnostikuje poskytovateľ skôr, za rozhodujúci okamih sa považuje toto skoršie zistenie alebo diagnostikovanie.</w:t>
            </w:r>
          </w:p>
        </w:tc>
      </w:tr>
      <w:tr w:rsidR="0036724D" w:rsidRPr="00960E05" w14:paraId="408C4408"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634BE824" w14:textId="77777777" w:rsidR="002D481F" w:rsidRDefault="00C5440E">
            <w:pPr>
              <w:spacing w:before="60" w:after="20"/>
            </w:pPr>
            <w:r>
              <w:rPr>
                <w:rFonts w:ascii="Cambria" w:hAnsi="Cambria"/>
                <w:b/>
                <w:sz w:val="20"/>
              </w:rPr>
              <w:t>Náhradné riešenie</w:t>
            </w:r>
          </w:p>
        </w:tc>
        <w:tc>
          <w:tcPr>
            <w:tcW w:w="6760" w:type="dxa"/>
            <w:tcBorders>
              <w:top w:val="single" w:sz="4" w:space="0" w:color="auto"/>
              <w:left w:val="single" w:sz="4" w:space="0" w:color="auto"/>
              <w:bottom w:val="single" w:sz="4" w:space="0" w:color="auto"/>
              <w:right w:val="single" w:sz="4" w:space="0" w:color="auto"/>
            </w:tcBorders>
          </w:tcPr>
          <w:p w14:paraId="721591EE" w14:textId="77777777" w:rsidR="002D481F" w:rsidRDefault="00C5440E">
            <w:pPr>
              <w:spacing w:before="60" w:after="20"/>
              <w:jc w:val="both"/>
            </w:pPr>
            <w:r>
              <w:rPr>
                <w:rFonts w:ascii="Cambria" w:hAnsi="Cambria"/>
                <w:sz w:val="20"/>
              </w:rPr>
              <w:t>dočasné technické alebo organizačné opatrenie, ktoré bez odstránenia základnej príčiny Incidentu preukázateľne obnoví požadovanú funkčnosť alebo zníži dopad Incidentu na úroveň akceptovateľnú objednávateľom. Náhradné riešenie musí byť zaznamenané v IS Service Desk, nesmie neprimerane obmedziť bezpečnosť ani prevádzku Diela a musí byť následne nahradené trvalým riešením v lehote podľa Servisnej zmluvy.</w:t>
            </w:r>
          </w:p>
        </w:tc>
      </w:tr>
      <w:tr w:rsidR="0036724D" w:rsidRPr="00960E05" w14:paraId="04B216B1"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601AC863" w14:textId="77777777" w:rsidR="002D481F" w:rsidRDefault="00C5440E">
            <w:pPr>
              <w:spacing w:before="60" w:after="20"/>
            </w:pPr>
            <w:r>
              <w:rPr>
                <w:rFonts w:ascii="Cambria" w:hAnsi="Cambria"/>
                <w:b/>
                <w:sz w:val="20"/>
              </w:rPr>
              <w:t>Nepodstatný incident</w:t>
            </w:r>
          </w:p>
        </w:tc>
        <w:tc>
          <w:tcPr>
            <w:tcW w:w="6760" w:type="dxa"/>
            <w:tcBorders>
              <w:top w:val="single" w:sz="4" w:space="0" w:color="auto"/>
              <w:left w:val="single" w:sz="4" w:space="0" w:color="auto"/>
              <w:bottom w:val="single" w:sz="4" w:space="0" w:color="auto"/>
              <w:right w:val="single" w:sz="4" w:space="0" w:color="auto"/>
            </w:tcBorders>
          </w:tcPr>
          <w:p w14:paraId="7E8663DD" w14:textId="77777777" w:rsidR="002D481F" w:rsidRDefault="00C5440E">
            <w:pPr>
              <w:spacing w:before="60" w:after="20"/>
              <w:jc w:val="both"/>
            </w:pPr>
            <w:r>
              <w:rPr>
                <w:rFonts w:ascii="Cambria" w:hAnsi="Cambria"/>
                <w:sz w:val="20"/>
              </w:rPr>
              <w:t>Incident, ktorý nespĺňa znaky Zásadného ani Závažného incidentu, má malý alebo lokálny dopad, nebráni riadnemu používaniu Diela ako celku ani poskytovaniu sieťových služieb a spravidla spôsobuje len obmedzenie menej významnej funkcie, administratívnu nezrovnalosť alebo požiadavku na drobnú opravu.</w:t>
            </w:r>
          </w:p>
        </w:tc>
      </w:tr>
      <w:tr w:rsidR="0036724D" w:rsidRPr="00960E05" w14:paraId="4383BC2D"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3F1D2C17" w14:textId="77777777" w:rsidR="002D481F" w:rsidRDefault="00C5440E">
            <w:pPr>
              <w:spacing w:before="60" w:after="20"/>
            </w:pPr>
            <w:r>
              <w:rPr>
                <w:rFonts w:ascii="Cambria" w:hAnsi="Cambria"/>
                <w:b/>
                <w:sz w:val="20"/>
              </w:rPr>
              <w:t>Objednávateľ</w:t>
            </w:r>
          </w:p>
        </w:tc>
        <w:tc>
          <w:tcPr>
            <w:tcW w:w="6760" w:type="dxa"/>
            <w:tcBorders>
              <w:top w:val="single" w:sz="4" w:space="0" w:color="auto"/>
              <w:left w:val="single" w:sz="4" w:space="0" w:color="auto"/>
              <w:bottom w:val="single" w:sz="4" w:space="0" w:color="auto"/>
              <w:right w:val="single" w:sz="4" w:space="0" w:color="auto"/>
            </w:tcBorders>
          </w:tcPr>
          <w:p w14:paraId="5D313323" w14:textId="77777777" w:rsidR="002D481F" w:rsidRDefault="00C5440E">
            <w:pPr>
              <w:spacing w:before="60" w:after="20"/>
              <w:jc w:val="both"/>
            </w:pPr>
            <w:r>
              <w:rPr>
                <w:rFonts w:ascii="Cambria" w:hAnsi="Cambria"/>
                <w:sz w:val="20"/>
              </w:rPr>
              <w:t>Národná banka Slovenska, identifikovaná v záhlaví Servisnej zmluvy.</w:t>
            </w:r>
          </w:p>
        </w:tc>
      </w:tr>
      <w:tr w:rsidR="0036724D" w:rsidRPr="00960E05" w14:paraId="124FF6D5"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2FD6EADB" w14:textId="77777777" w:rsidR="002D481F" w:rsidRDefault="00C5440E">
            <w:pPr>
              <w:spacing w:before="60" w:after="20"/>
            </w:pPr>
            <w:r>
              <w:rPr>
                <w:rFonts w:ascii="Cambria" w:hAnsi="Cambria"/>
                <w:b/>
                <w:sz w:val="20"/>
              </w:rPr>
              <w:t>Opravný balíček (patch)</w:t>
            </w:r>
          </w:p>
        </w:tc>
        <w:tc>
          <w:tcPr>
            <w:tcW w:w="6760" w:type="dxa"/>
            <w:tcBorders>
              <w:top w:val="single" w:sz="4" w:space="0" w:color="auto"/>
              <w:left w:val="single" w:sz="4" w:space="0" w:color="auto"/>
              <w:bottom w:val="single" w:sz="4" w:space="0" w:color="auto"/>
              <w:right w:val="single" w:sz="4" w:space="0" w:color="auto"/>
            </w:tcBorders>
          </w:tcPr>
          <w:p w14:paraId="62FCAB99" w14:textId="77777777" w:rsidR="002D481F" w:rsidRDefault="00C5440E">
            <w:pPr>
              <w:spacing w:before="60" w:after="20"/>
              <w:jc w:val="both"/>
            </w:pPr>
            <w:r>
              <w:rPr>
                <w:rFonts w:ascii="Cambria" w:hAnsi="Cambria"/>
                <w:sz w:val="20"/>
              </w:rPr>
              <w:t>aktualizácia alebo súbor zmien vydaný výrobcom alebo oprávneným dodávateľom na odstránenie Chyby alebo Bezpečnostnej zraniteľnosti, zlepšenie kompatibility, stability alebo bezpečnosti firmvéru, operačného systému alebo softvéru.</w:t>
            </w:r>
          </w:p>
        </w:tc>
      </w:tr>
      <w:tr w:rsidR="0036724D" w:rsidRPr="00960E05" w14:paraId="6B0DB81D"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20BD1296" w14:textId="77777777" w:rsidR="002D481F" w:rsidRDefault="00C5440E">
            <w:pPr>
              <w:spacing w:before="60" w:after="20"/>
            </w:pPr>
            <w:r>
              <w:rPr>
                <w:rFonts w:ascii="Cambria" w:hAnsi="Cambria"/>
                <w:b/>
                <w:sz w:val="20"/>
              </w:rPr>
              <w:t>Oprávnená osoba / kontaktná osoba</w:t>
            </w:r>
          </w:p>
        </w:tc>
        <w:tc>
          <w:tcPr>
            <w:tcW w:w="6760" w:type="dxa"/>
            <w:tcBorders>
              <w:top w:val="single" w:sz="4" w:space="0" w:color="auto"/>
              <w:left w:val="single" w:sz="4" w:space="0" w:color="auto"/>
              <w:bottom w:val="single" w:sz="4" w:space="0" w:color="auto"/>
              <w:right w:val="single" w:sz="4" w:space="0" w:color="auto"/>
            </w:tcBorders>
          </w:tcPr>
          <w:p w14:paraId="107EC9BB" w14:textId="77777777" w:rsidR="002D481F" w:rsidRDefault="00C5440E">
            <w:pPr>
              <w:spacing w:before="60" w:after="20"/>
              <w:jc w:val="both"/>
            </w:pPr>
            <w:r>
              <w:rPr>
                <w:rFonts w:ascii="Cambria" w:hAnsi="Cambria"/>
                <w:sz w:val="20"/>
              </w:rPr>
              <w:t>osoba písomne určená príslušnou Zmluvnou stranou na organizačnú, technickú a prevádzkovú komunikáciu, koordináciu, sledovanie plnenia a vykonávanie úkonov v rozsahu jej oznámeného oprávnenia. Oprávnená osoba nie je oprávnená meniť Servisnú zmluvu, odpustiť nárok ani prevziať záväzok nad jej rámec, ak na to nemá osobitné písomné splnomocnenie.</w:t>
            </w:r>
          </w:p>
        </w:tc>
      </w:tr>
      <w:tr w:rsidR="0036724D" w:rsidRPr="00960E05" w14:paraId="71BA6A5B"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085D1EAF" w14:textId="77777777" w:rsidR="002D481F" w:rsidRDefault="00C5440E">
            <w:pPr>
              <w:spacing w:before="60" w:after="20"/>
            </w:pPr>
            <w:r>
              <w:rPr>
                <w:rFonts w:ascii="Cambria" w:hAnsi="Cambria"/>
                <w:b/>
                <w:sz w:val="20"/>
              </w:rPr>
              <w:t>Osobodeň (MD)</w:t>
            </w:r>
          </w:p>
        </w:tc>
        <w:tc>
          <w:tcPr>
            <w:tcW w:w="6760" w:type="dxa"/>
            <w:tcBorders>
              <w:top w:val="single" w:sz="4" w:space="0" w:color="auto"/>
              <w:left w:val="single" w:sz="4" w:space="0" w:color="auto"/>
              <w:bottom w:val="single" w:sz="4" w:space="0" w:color="auto"/>
              <w:right w:val="single" w:sz="4" w:space="0" w:color="auto"/>
            </w:tcBorders>
          </w:tcPr>
          <w:p w14:paraId="776ED3A5" w14:textId="77777777" w:rsidR="002D481F" w:rsidRDefault="00C5440E">
            <w:pPr>
              <w:spacing w:before="60" w:after="20"/>
              <w:jc w:val="both"/>
            </w:pPr>
            <w:r>
              <w:rPr>
                <w:rFonts w:ascii="Cambria" w:hAnsi="Cambria"/>
                <w:sz w:val="20"/>
              </w:rPr>
              <w:t>osem osobohodín odbornej práce. Ak Servisná zmluva neustanovuje inak, jednotlivé časové úseky práce sa sčítavajú a pri súbežnej práci viacerých osôb sa započítava čas každej osoby samostatne.</w:t>
            </w:r>
          </w:p>
        </w:tc>
      </w:tr>
      <w:tr w:rsidR="0036724D" w:rsidRPr="00960E05" w14:paraId="6A6F45EA"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178F2A5C" w14:textId="77777777" w:rsidR="002D481F" w:rsidRDefault="00C5440E">
            <w:pPr>
              <w:spacing w:before="60" w:after="20"/>
            </w:pPr>
            <w:r>
              <w:rPr>
                <w:rFonts w:ascii="Cambria" w:hAnsi="Cambria"/>
                <w:b/>
                <w:sz w:val="20"/>
              </w:rPr>
              <w:t>Paušálne služby</w:t>
            </w:r>
          </w:p>
        </w:tc>
        <w:tc>
          <w:tcPr>
            <w:tcW w:w="6760" w:type="dxa"/>
            <w:tcBorders>
              <w:top w:val="single" w:sz="4" w:space="0" w:color="auto"/>
              <w:left w:val="single" w:sz="4" w:space="0" w:color="auto"/>
              <w:bottom w:val="single" w:sz="4" w:space="0" w:color="auto"/>
              <w:right w:val="single" w:sz="4" w:space="0" w:color="auto"/>
            </w:tcBorders>
          </w:tcPr>
          <w:p w14:paraId="6A58C44A" w14:textId="77777777" w:rsidR="002D481F" w:rsidRDefault="00C5440E">
            <w:pPr>
              <w:spacing w:before="60" w:after="20"/>
              <w:jc w:val="both"/>
            </w:pPr>
            <w:r>
              <w:rPr>
                <w:rFonts w:ascii="Cambria" w:hAnsi="Cambria"/>
                <w:sz w:val="20"/>
              </w:rPr>
              <w:t>služby Podpora a Údržba poskytované pravidelne počas trvania Servisnej zmluvy a hradené mesačným paušálnym poplatkom v rozsahu podľa Servisnej zmluvy a jej príloh.</w:t>
            </w:r>
          </w:p>
        </w:tc>
      </w:tr>
      <w:tr w:rsidR="0036724D" w:rsidRPr="00960E05" w14:paraId="64934509"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49DA0596" w14:textId="77777777" w:rsidR="002D481F" w:rsidRDefault="00C5440E">
            <w:pPr>
              <w:spacing w:before="60" w:after="20"/>
            </w:pPr>
            <w:r>
              <w:rPr>
                <w:rFonts w:ascii="Cambria" w:hAnsi="Cambria"/>
                <w:b/>
                <w:sz w:val="20"/>
              </w:rPr>
              <w:t>Podpora</w:t>
            </w:r>
          </w:p>
        </w:tc>
        <w:tc>
          <w:tcPr>
            <w:tcW w:w="6760" w:type="dxa"/>
            <w:tcBorders>
              <w:top w:val="single" w:sz="4" w:space="0" w:color="auto"/>
              <w:left w:val="single" w:sz="4" w:space="0" w:color="auto"/>
              <w:bottom w:val="single" w:sz="4" w:space="0" w:color="auto"/>
              <w:right w:val="single" w:sz="4" w:space="0" w:color="auto"/>
            </w:tcBorders>
          </w:tcPr>
          <w:p w14:paraId="4C1534B1" w14:textId="77777777" w:rsidR="002D481F" w:rsidRDefault="00C5440E">
            <w:pPr>
              <w:spacing w:before="60" w:after="20"/>
              <w:jc w:val="both"/>
            </w:pPr>
            <w:r>
              <w:rPr>
                <w:rFonts w:ascii="Cambria" w:hAnsi="Cambria"/>
                <w:sz w:val="20"/>
              </w:rPr>
              <w:t>súbor činností zameraných najmä na prijímanie, evidenciu, analýzu a riešenie prevádzkových otázok a problémov, poskytovanie konzultácií a informácií, sledovanie odporúčaní výrobcu a bezpečnostných zraniteľností, posudzovanie zmien, návrhy na zlepšenie a koordináciu poskytovania Servisných služieb v rozsahu podľa Prílohy č. 2.</w:t>
            </w:r>
          </w:p>
        </w:tc>
      </w:tr>
      <w:tr w:rsidR="0036724D" w:rsidRPr="00960E05" w14:paraId="5B8972BC"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00CC6934" w14:textId="77777777" w:rsidR="002D481F" w:rsidRDefault="00C5440E">
            <w:pPr>
              <w:spacing w:before="60" w:after="20"/>
            </w:pPr>
            <w:r>
              <w:rPr>
                <w:rFonts w:ascii="Cambria" w:hAnsi="Cambria"/>
                <w:b/>
                <w:sz w:val="20"/>
              </w:rPr>
              <w:lastRenderedPageBreak/>
              <w:t>Porucha</w:t>
            </w:r>
          </w:p>
        </w:tc>
        <w:tc>
          <w:tcPr>
            <w:tcW w:w="6760" w:type="dxa"/>
            <w:tcBorders>
              <w:top w:val="single" w:sz="4" w:space="0" w:color="auto"/>
              <w:left w:val="single" w:sz="4" w:space="0" w:color="auto"/>
              <w:bottom w:val="single" w:sz="4" w:space="0" w:color="auto"/>
              <w:right w:val="single" w:sz="4" w:space="0" w:color="auto"/>
            </w:tcBorders>
          </w:tcPr>
          <w:p w14:paraId="3CEC97D4" w14:textId="77777777" w:rsidR="002D481F" w:rsidRDefault="00C5440E">
            <w:pPr>
              <w:spacing w:before="60" w:after="20"/>
              <w:jc w:val="both"/>
            </w:pPr>
            <w:r>
              <w:rPr>
                <w:rFonts w:ascii="Cambria" w:hAnsi="Cambria"/>
                <w:sz w:val="20"/>
              </w:rPr>
              <w:t>náhle alebo postupné zlyhanie zariadenia, modulu, firmvéru, softvéru alebo iného Komponentu IT infraštruktúry, v dôsledku ktorého komponent neplní alebo obmedzene plní určenú funkciu. Porucha môže byť príčinou Incidentu a podľa okolností aj Vadou.</w:t>
            </w:r>
          </w:p>
        </w:tc>
      </w:tr>
      <w:tr w:rsidR="0036724D" w:rsidRPr="00960E05" w14:paraId="69543AE2"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43038FFB" w14:textId="77777777" w:rsidR="002D481F" w:rsidRDefault="00C5440E">
            <w:pPr>
              <w:spacing w:before="60" w:after="20"/>
            </w:pPr>
            <w:r>
              <w:rPr>
                <w:rFonts w:ascii="Cambria" w:hAnsi="Cambria"/>
                <w:b/>
                <w:sz w:val="20"/>
              </w:rPr>
              <w:t>Poskytovateľ / zhotoviteľ</w:t>
            </w:r>
          </w:p>
        </w:tc>
        <w:tc>
          <w:tcPr>
            <w:tcW w:w="6760" w:type="dxa"/>
            <w:tcBorders>
              <w:top w:val="single" w:sz="4" w:space="0" w:color="auto"/>
              <w:left w:val="single" w:sz="4" w:space="0" w:color="auto"/>
              <w:bottom w:val="single" w:sz="4" w:space="0" w:color="auto"/>
              <w:right w:val="single" w:sz="4" w:space="0" w:color="auto"/>
            </w:tcBorders>
          </w:tcPr>
          <w:p w14:paraId="7AB7696C" w14:textId="77777777" w:rsidR="002D481F" w:rsidRDefault="00C5440E">
            <w:pPr>
              <w:spacing w:before="60" w:after="20"/>
              <w:jc w:val="both"/>
            </w:pPr>
            <w:r>
              <w:rPr>
                <w:rFonts w:ascii="Cambria" w:hAnsi="Cambria"/>
                <w:sz w:val="20"/>
              </w:rPr>
              <w:t>zmluvná strana identifikovaná v záhlaví Servisnej zmluvy, ktorá poskytuje Servisné služby. Pojem „zhotoviteľ“ použitý vo Všeobecných podmienkach má na účely Servisnej zmluvy rovnaký význam ako pojem „poskytovateľ“, ak z kontextu výslovne nevyplýva, že ide o plnenie podľa zmluvy o dielo.</w:t>
            </w:r>
          </w:p>
        </w:tc>
      </w:tr>
      <w:tr w:rsidR="0036724D" w:rsidRPr="00960E05" w14:paraId="1700606E"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5F63EA9C" w14:textId="77777777" w:rsidR="002D481F" w:rsidRDefault="00C5440E">
            <w:pPr>
              <w:spacing w:before="60" w:after="20"/>
            </w:pPr>
            <w:r>
              <w:rPr>
                <w:rFonts w:ascii="Cambria" w:hAnsi="Cambria"/>
                <w:b/>
                <w:sz w:val="20"/>
              </w:rPr>
              <w:t>Požiadavka na zmenu / Žiadosť</w:t>
            </w:r>
          </w:p>
        </w:tc>
        <w:tc>
          <w:tcPr>
            <w:tcW w:w="6760" w:type="dxa"/>
            <w:tcBorders>
              <w:top w:val="single" w:sz="4" w:space="0" w:color="auto"/>
              <w:left w:val="single" w:sz="4" w:space="0" w:color="auto"/>
              <w:bottom w:val="single" w:sz="4" w:space="0" w:color="auto"/>
              <w:right w:val="single" w:sz="4" w:space="0" w:color="auto"/>
            </w:tcBorders>
          </w:tcPr>
          <w:p w14:paraId="172C3BD7" w14:textId="77777777" w:rsidR="002D481F" w:rsidRDefault="00C5440E">
            <w:pPr>
              <w:spacing w:before="60" w:after="20"/>
              <w:jc w:val="both"/>
            </w:pPr>
            <w:r>
              <w:rPr>
                <w:rFonts w:ascii="Cambria" w:hAnsi="Cambria"/>
                <w:sz w:val="20"/>
              </w:rPr>
              <w:t>požiadavka objednávateľa zaevidovaná v IS Service Desk alebo doručená iným dohodnutým spôsobom, ktorej predmetom je najmä konzultácia, posúdenie, konfigurácia, zmena nastavenia, inštalácia, aktualizácia alebo iná činnosť podľa Prílohy č. 2. Jej zaevidovanie samo osebe nemení Servisnú zmluvu ani nezakladá povinnosť poskytnúť plnenie mimo dohodnutého rozsahu.</w:t>
            </w:r>
          </w:p>
        </w:tc>
      </w:tr>
      <w:tr w:rsidR="0036724D" w:rsidRPr="00960E05" w14:paraId="3602D854"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04800DB8" w14:textId="77777777" w:rsidR="002D481F" w:rsidRDefault="00C5440E">
            <w:pPr>
              <w:spacing w:before="60" w:after="20"/>
            </w:pPr>
            <w:r>
              <w:rPr>
                <w:rFonts w:ascii="Cambria" w:hAnsi="Cambria"/>
                <w:b/>
                <w:sz w:val="20"/>
              </w:rPr>
              <w:t>Pracovná doba</w:t>
            </w:r>
          </w:p>
        </w:tc>
        <w:tc>
          <w:tcPr>
            <w:tcW w:w="6760" w:type="dxa"/>
            <w:tcBorders>
              <w:top w:val="single" w:sz="4" w:space="0" w:color="auto"/>
              <w:left w:val="single" w:sz="4" w:space="0" w:color="auto"/>
              <w:bottom w:val="single" w:sz="4" w:space="0" w:color="auto"/>
              <w:right w:val="single" w:sz="4" w:space="0" w:color="auto"/>
            </w:tcBorders>
          </w:tcPr>
          <w:p w14:paraId="3F9AF056" w14:textId="77777777" w:rsidR="002D481F" w:rsidRDefault="00C5440E">
            <w:pPr>
              <w:spacing w:before="60" w:after="20"/>
              <w:jc w:val="both"/>
            </w:pPr>
            <w:r>
              <w:rPr>
                <w:rFonts w:ascii="Cambria" w:hAnsi="Cambria"/>
                <w:sz w:val="20"/>
              </w:rPr>
              <w:t>časové obdobie určené pre príslušnú činnosť v Prílohe č. 2. Ak je pri činnosti uvedené iba „v pracovnej dobe“ bez presného časového rozmedzia, rozumie sa tým čas od 8.00 h do 17.00 h počas Pracovného dňa; osobitný čas podpory systému vzdialeného prístupu podľa Všeobecných podmienok tým nie je dotknutý.</w:t>
            </w:r>
          </w:p>
        </w:tc>
      </w:tr>
      <w:tr w:rsidR="0036724D" w:rsidRPr="00960E05" w14:paraId="00307CD9"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2631D420" w14:textId="77777777" w:rsidR="002D481F" w:rsidRDefault="00C5440E">
            <w:pPr>
              <w:spacing w:before="60" w:after="20"/>
            </w:pPr>
            <w:r>
              <w:rPr>
                <w:rFonts w:ascii="Cambria" w:hAnsi="Cambria"/>
                <w:b/>
                <w:sz w:val="20"/>
              </w:rPr>
              <w:t>Pracovný deň</w:t>
            </w:r>
          </w:p>
        </w:tc>
        <w:tc>
          <w:tcPr>
            <w:tcW w:w="6760" w:type="dxa"/>
            <w:tcBorders>
              <w:top w:val="single" w:sz="4" w:space="0" w:color="auto"/>
              <w:left w:val="single" w:sz="4" w:space="0" w:color="auto"/>
              <w:bottom w:val="single" w:sz="4" w:space="0" w:color="auto"/>
              <w:right w:val="single" w:sz="4" w:space="0" w:color="auto"/>
            </w:tcBorders>
          </w:tcPr>
          <w:p w14:paraId="60A39FA6" w14:textId="77777777" w:rsidR="002D481F" w:rsidRDefault="00C5440E">
            <w:pPr>
              <w:spacing w:before="60" w:after="20"/>
              <w:jc w:val="both"/>
            </w:pPr>
            <w:r>
              <w:rPr>
                <w:rFonts w:ascii="Cambria" w:hAnsi="Cambria"/>
                <w:sz w:val="20"/>
              </w:rPr>
              <w:t>deň od pondelka do piatka, ktorý nie je dňom pracovného pokoja ani štátnym sviatkom podľa právnych predpisov Slovenskej republiky.</w:t>
            </w:r>
          </w:p>
        </w:tc>
      </w:tr>
      <w:tr w:rsidR="0036724D" w:rsidRPr="00960E05" w14:paraId="0D3262E7"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5F3246A1" w14:textId="77777777" w:rsidR="002D481F" w:rsidRDefault="00C5440E">
            <w:pPr>
              <w:spacing w:before="60" w:after="20"/>
            </w:pPr>
            <w:r>
              <w:rPr>
                <w:rFonts w:ascii="Cambria" w:hAnsi="Cambria"/>
                <w:b/>
                <w:sz w:val="20"/>
              </w:rPr>
              <w:t>Preexistentný komponent</w:t>
            </w:r>
          </w:p>
        </w:tc>
        <w:tc>
          <w:tcPr>
            <w:tcW w:w="6760" w:type="dxa"/>
            <w:tcBorders>
              <w:top w:val="single" w:sz="4" w:space="0" w:color="auto"/>
              <w:left w:val="single" w:sz="4" w:space="0" w:color="auto"/>
              <w:bottom w:val="single" w:sz="4" w:space="0" w:color="auto"/>
              <w:right w:val="single" w:sz="4" w:space="0" w:color="auto"/>
            </w:tcBorders>
          </w:tcPr>
          <w:p w14:paraId="26CC785E" w14:textId="77777777" w:rsidR="002D481F" w:rsidRDefault="00C5440E">
            <w:pPr>
              <w:spacing w:before="60" w:after="20"/>
              <w:jc w:val="both"/>
            </w:pPr>
            <w:r>
              <w:rPr>
                <w:rFonts w:ascii="Cambria" w:hAnsi="Cambria"/>
                <w:sz w:val="20"/>
              </w:rPr>
              <w:t>softvér, firmvér, knižnica, skript, diagnostický alebo konfiguračný nástroj, dokumentácia, metodika, šablóna, know-how alebo iný prvok, ktorý existoval pred začatím jeho použitia pri plnení Servisnej zmluvy a nebol vytvorený osobitne pre objednávateľa; zahŕňa aj štandardný a open source softvér.</w:t>
            </w:r>
          </w:p>
        </w:tc>
      </w:tr>
      <w:tr w:rsidR="0036724D" w:rsidRPr="00960E05" w14:paraId="235F772D"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6108E699" w14:textId="77777777" w:rsidR="002D481F" w:rsidRDefault="00C5440E">
            <w:pPr>
              <w:spacing w:before="60" w:after="20"/>
            </w:pPr>
            <w:r>
              <w:rPr>
                <w:rFonts w:ascii="Cambria" w:hAnsi="Cambria"/>
                <w:b/>
                <w:sz w:val="20"/>
              </w:rPr>
              <w:t>Servisná podpora výrobcu</w:t>
            </w:r>
          </w:p>
        </w:tc>
        <w:tc>
          <w:tcPr>
            <w:tcW w:w="6760" w:type="dxa"/>
            <w:tcBorders>
              <w:top w:val="single" w:sz="4" w:space="0" w:color="auto"/>
              <w:left w:val="single" w:sz="4" w:space="0" w:color="auto"/>
              <w:bottom w:val="single" w:sz="4" w:space="0" w:color="auto"/>
              <w:right w:val="single" w:sz="4" w:space="0" w:color="auto"/>
            </w:tcBorders>
          </w:tcPr>
          <w:p w14:paraId="2D835BA4" w14:textId="77777777" w:rsidR="002D481F" w:rsidRDefault="00C5440E">
            <w:pPr>
              <w:spacing w:before="60" w:after="20"/>
              <w:jc w:val="both"/>
            </w:pPr>
            <w:r>
              <w:rPr>
                <w:rFonts w:ascii="Cambria" w:hAnsi="Cambria"/>
                <w:sz w:val="20"/>
              </w:rPr>
              <w:t>oprávnenie alebo služba výrobcu alebo ním autorizovanej tretej osoby, ktorá podľa podmienok konkrétneho produktu zahŕňa najmä prístup k technickej podpore, aktualizáciám a bezpečnostným opravám, diagnostike, výmene alebo oprave zariadenia, RMA procesu, servisnému portálu a príslušným identifikátorom podpory. Servisná podpora výrobcu je odlišná od Záručnej doby a od vlastných povinností poskytovateľa podľa Servisnej zmluvy.</w:t>
            </w:r>
          </w:p>
        </w:tc>
      </w:tr>
      <w:tr w:rsidR="0036724D" w:rsidRPr="00960E05" w14:paraId="4991537F"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206BAF99" w14:textId="77777777" w:rsidR="002D481F" w:rsidRDefault="00C5440E">
            <w:pPr>
              <w:spacing w:before="60" w:after="20"/>
            </w:pPr>
            <w:r>
              <w:rPr>
                <w:rFonts w:ascii="Cambria" w:hAnsi="Cambria"/>
                <w:b/>
                <w:sz w:val="20"/>
              </w:rPr>
              <w:t>Servisné služby</w:t>
            </w:r>
          </w:p>
        </w:tc>
        <w:tc>
          <w:tcPr>
            <w:tcW w:w="6760" w:type="dxa"/>
            <w:tcBorders>
              <w:top w:val="single" w:sz="4" w:space="0" w:color="auto"/>
              <w:left w:val="single" w:sz="4" w:space="0" w:color="auto"/>
              <w:bottom w:val="single" w:sz="4" w:space="0" w:color="auto"/>
              <w:right w:val="single" w:sz="4" w:space="0" w:color="auto"/>
            </w:tcBorders>
          </w:tcPr>
          <w:p w14:paraId="5E3C478A" w14:textId="77777777" w:rsidR="002D481F" w:rsidRDefault="00C5440E">
            <w:pPr>
              <w:spacing w:before="60" w:after="20"/>
              <w:jc w:val="both"/>
            </w:pPr>
            <w:r>
              <w:rPr>
                <w:rFonts w:ascii="Cambria" w:hAnsi="Cambria"/>
                <w:sz w:val="20"/>
              </w:rPr>
              <w:t>služby Podpora a Údržba poskytované poskytovateľom na zabezpečenie prevádzkyschopnosti, spoľahlivosti, bezpečnosti, dostupnosti a rozvoja Diela v rozsahu, kvalite, termínoch a za podmienok podľa Servisnej zmluvy a jej príloh.</w:t>
            </w:r>
          </w:p>
        </w:tc>
      </w:tr>
      <w:tr w:rsidR="0036724D" w:rsidRPr="00960E05" w14:paraId="752793E1"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673D0B39" w14:textId="77777777" w:rsidR="002D481F" w:rsidRDefault="00C5440E">
            <w:pPr>
              <w:spacing w:before="60" w:after="20"/>
            </w:pPr>
            <w:r>
              <w:rPr>
                <w:rFonts w:ascii="Cambria" w:hAnsi="Cambria"/>
                <w:b/>
                <w:sz w:val="20"/>
              </w:rPr>
              <w:t>SLA</w:t>
            </w:r>
          </w:p>
        </w:tc>
        <w:tc>
          <w:tcPr>
            <w:tcW w:w="6760" w:type="dxa"/>
            <w:tcBorders>
              <w:top w:val="single" w:sz="4" w:space="0" w:color="auto"/>
              <w:left w:val="single" w:sz="4" w:space="0" w:color="auto"/>
              <w:bottom w:val="single" w:sz="4" w:space="0" w:color="auto"/>
              <w:right w:val="single" w:sz="4" w:space="0" w:color="auto"/>
            </w:tcBorders>
          </w:tcPr>
          <w:p w14:paraId="2BE46C9D" w14:textId="77777777" w:rsidR="002D481F" w:rsidRDefault="00C5440E">
            <w:pPr>
              <w:spacing w:before="60" w:after="20"/>
              <w:jc w:val="both"/>
            </w:pPr>
            <w:r>
              <w:rPr>
                <w:rFonts w:ascii="Cambria" w:hAnsi="Cambria"/>
                <w:sz w:val="20"/>
              </w:rPr>
              <w:t>Service Level Agreement, zmluvne dohodnutá úroveň Servisných služieb vyjadrená najmä Dostupnosťou služby, Dobou odozvy, Lehotou služby, klasifikáciou Incidentov a ďalšími merateľnými kvalitatívnymi alebo časovými parametrami uvedenými v Servisnej zmluve a Prílohe č. 2.</w:t>
            </w:r>
          </w:p>
        </w:tc>
      </w:tr>
      <w:tr w:rsidR="0036724D" w:rsidRPr="00960E05" w14:paraId="53627362"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0A611E92" w14:textId="77777777" w:rsidR="002D481F" w:rsidRDefault="00C5440E">
            <w:pPr>
              <w:spacing w:before="60" w:after="20"/>
            </w:pPr>
            <w:r>
              <w:rPr>
                <w:rFonts w:ascii="Cambria" w:hAnsi="Cambria"/>
                <w:b/>
                <w:sz w:val="20"/>
              </w:rPr>
              <w:t>Softvér tretej osoby / štandardný softvér</w:t>
            </w:r>
          </w:p>
        </w:tc>
        <w:tc>
          <w:tcPr>
            <w:tcW w:w="6760" w:type="dxa"/>
            <w:tcBorders>
              <w:top w:val="single" w:sz="4" w:space="0" w:color="auto"/>
              <w:left w:val="single" w:sz="4" w:space="0" w:color="auto"/>
              <w:bottom w:val="single" w:sz="4" w:space="0" w:color="auto"/>
              <w:right w:val="single" w:sz="4" w:space="0" w:color="auto"/>
            </w:tcBorders>
          </w:tcPr>
          <w:p w14:paraId="4ADE7605" w14:textId="77777777" w:rsidR="002D481F" w:rsidRDefault="00C5440E">
            <w:pPr>
              <w:spacing w:before="60" w:after="20"/>
              <w:jc w:val="both"/>
            </w:pPr>
            <w:r>
              <w:rPr>
                <w:rFonts w:ascii="Cambria" w:hAnsi="Cambria"/>
                <w:sz w:val="20"/>
              </w:rPr>
              <w:t>softvér, operačný systém, virtualizačný softvér, nástroj alebo iný programový produkt, ktorého autorom alebo výrobcom nie je poskytovateľ alebo ktorý nebol vytvorený osobitne pre objednávateľa a používa sa podľa licenčných, servisných alebo používateľských podmienok výrobcu alebo príslušnej tretej osoby.</w:t>
            </w:r>
          </w:p>
        </w:tc>
      </w:tr>
      <w:tr w:rsidR="0036724D" w:rsidRPr="00960E05" w14:paraId="280EF654"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02F16114" w14:textId="77777777" w:rsidR="002D481F" w:rsidRDefault="00C5440E">
            <w:pPr>
              <w:spacing w:before="60" w:after="20"/>
            </w:pPr>
            <w:r>
              <w:rPr>
                <w:rFonts w:ascii="Cambria" w:hAnsi="Cambria"/>
                <w:b/>
                <w:sz w:val="20"/>
              </w:rPr>
              <w:t>Údržba</w:t>
            </w:r>
          </w:p>
        </w:tc>
        <w:tc>
          <w:tcPr>
            <w:tcW w:w="6760" w:type="dxa"/>
            <w:tcBorders>
              <w:top w:val="single" w:sz="4" w:space="0" w:color="auto"/>
              <w:left w:val="single" w:sz="4" w:space="0" w:color="auto"/>
              <w:bottom w:val="single" w:sz="4" w:space="0" w:color="auto"/>
              <w:right w:val="single" w:sz="4" w:space="0" w:color="auto"/>
            </w:tcBorders>
          </w:tcPr>
          <w:p w14:paraId="0125F404" w14:textId="77777777" w:rsidR="002D481F" w:rsidRDefault="00C5440E">
            <w:pPr>
              <w:spacing w:before="60" w:after="20"/>
              <w:jc w:val="both"/>
            </w:pPr>
            <w:r>
              <w:rPr>
                <w:rFonts w:ascii="Cambria" w:hAnsi="Cambria"/>
                <w:sz w:val="20"/>
              </w:rPr>
              <w:t>súbor činností zameraných na zachovanie alebo obnovenie prevádzkyschopnosti, spoľahlivosti, bezpečnosti a dostupnosti Diela, najmä diagnostika, riešenie a odstraňovanie Incidentov a Porúch, výmena komponentov, inštalácia alebo reinštalácia zariadení, aktualizácia firmvéru a softvéru, vykonávanie schválených konfiguračných zmien, súčinnosť pri opravách a aktualizácia Dokumentácie v rozsahu podľa Prílohy č. 2.</w:t>
            </w:r>
          </w:p>
        </w:tc>
      </w:tr>
      <w:tr w:rsidR="0036724D" w:rsidRPr="00960E05" w14:paraId="2A253E94"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610CB9D1" w14:textId="77777777" w:rsidR="002D481F" w:rsidRDefault="00C5440E">
            <w:pPr>
              <w:spacing w:before="60" w:after="20"/>
            </w:pPr>
            <w:r>
              <w:rPr>
                <w:rFonts w:ascii="Cambria" w:hAnsi="Cambria"/>
                <w:b/>
                <w:sz w:val="20"/>
              </w:rPr>
              <w:lastRenderedPageBreak/>
              <w:t>Vada</w:t>
            </w:r>
          </w:p>
        </w:tc>
        <w:tc>
          <w:tcPr>
            <w:tcW w:w="6760" w:type="dxa"/>
            <w:tcBorders>
              <w:top w:val="single" w:sz="4" w:space="0" w:color="auto"/>
              <w:left w:val="single" w:sz="4" w:space="0" w:color="auto"/>
              <w:bottom w:val="single" w:sz="4" w:space="0" w:color="auto"/>
              <w:right w:val="single" w:sz="4" w:space="0" w:color="auto"/>
            </w:tcBorders>
          </w:tcPr>
          <w:p w14:paraId="404174A9" w14:textId="77777777" w:rsidR="002D481F" w:rsidRDefault="00C5440E">
            <w:pPr>
              <w:spacing w:before="60" w:after="20"/>
              <w:jc w:val="both"/>
            </w:pPr>
            <w:r>
              <w:rPr>
                <w:rFonts w:ascii="Cambria" w:hAnsi="Cambria"/>
                <w:sz w:val="20"/>
              </w:rPr>
              <w:t>vecný alebo právny nedostatok Diela, jeho časti alebo plnenia poskytnutého podľa Servisnej zmluvy, pre ktorý plnenie nemá dohodnuté alebo obvyklé vlastnosti, parametre, funkcionalitu, kompatibilitu, bezpečnostné vlastnosti alebo právnu bezchybnosť. Vada môže existovať už pri odovzdaní alebo sa môže prejaviť počas Záručnej doby; nie každý Incident je automaticky Vadou.</w:t>
            </w:r>
          </w:p>
        </w:tc>
      </w:tr>
      <w:tr w:rsidR="0036724D" w:rsidRPr="00960E05" w14:paraId="5F98AF48"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71DE7CAB" w14:textId="77777777" w:rsidR="002D481F" w:rsidRDefault="00C5440E">
            <w:pPr>
              <w:spacing w:before="60" w:after="20"/>
            </w:pPr>
            <w:r>
              <w:rPr>
                <w:rFonts w:ascii="Cambria" w:hAnsi="Cambria"/>
                <w:b/>
                <w:sz w:val="20"/>
              </w:rPr>
              <w:t>VPN</w:t>
            </w:r>
          </w:p>
        </w:tc>
        <w:tc>
          <w:tcPr>
            <w:tcW w:w="6760" w:type="dxa"/>
            <w:tcBorders>
              <w:top w:val="single" w:sz="4" w:space="0" w:color="auto"/>
              <w:left w:val="single" w:sz="4" w:space="0" w:color="auto"/>
              <w:bottom w:val="single" w:sz="4" w:space="0" w:color="auto"/>
              <w:right w:val="single" w:sz="4" w:space="0" w:color="auto"/>
            </w:tcBorders>
          </w:tcPr>
          <w:p w14:paraId="7F61A234" w14:textId="77777777" w:rsidR="002D481F" w:rsidRDefault="00C5440E">
            <w:pPr>
              <w:spacing w:before="60" w:after="20"/>
              <w:jc w:val="both"/>
            </w:pPr>
            <w:r>
              <w:rPr>
                <w:rFonts w:ascii="Cambria" w:hAnsi="Cambria"/>
                <w:sz w:val="20"/>
              </w:rPr>
              <w:t>Virtual Private Network, zabezpečené sieťové spojenie používané na Vzdialený prístup k určenej časti IKT infraštruktúry objednávateľa.</w:t>
            </w:r>
          </w:p>
        </w:tc>
      </w:tr>
      <w:tr w:rsidR="0036724D" w:rsidRPr="00960E05" w14:paraId="56BC3AAF"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7F8949E0" w14:textId="77777777" w:rsidR="002D481F" w:rsidRDefault="00C5440E">
            <w:pPr>
              <w:spacing w:before="60" w:after="20"/>
            </w:pPr>
            <w:r>
              <w:rPr>
                <w:rFonts w:ascii="Cambria" w:hAnsi="Cambria"/>
                <w:b/>
                <w:sz w:val="20"/>
              </w:rPr>
              <w:t>Vzdialený prístup</w:t>
            </w:r>
          </w:p>
        </w:tc>
        <w:tc>
          <w:tcPr>
            <w:tcW w:w="6760" w:type="dxa"/>
            <w:tcBorders>
              <w:top w:val="single" w:sz="4" w:space="0" w:color="auto"/>
              <w:left w:val="single" w:sz="4" w:space="0" w:color="auto"/>
              <w:bottom w:val="single" w:sz="4" w:space="0" w:color="auto"/>
              <w:right w:val="single" w:sz="4" w:space="0" w:color="auto"/>
            </w:tcBorders>
          </w:tcPr>
          <w:p w14:paraId="50E405B8" w14:textId="77777777" w:rsidR="002D481F" w:rsidRDefault="00C5440E">
            <w:pPr>
              <w:spacing w:before="60" w:after="20"/>
              <w:jc w:val="both"/>
            </w:pPr>
            <w:r>
              <w:rPr>
                <w:rFonts w:ascii="Cambria" w:hAnsi="Cambria"/>
                <w:sz w:val="20"/>
              </w:rPr>
              <w:t>prístup Externého používateľa k objednávateľom určenej časti IKT infraštruktúry prostredníctvom systému vzdialeného prístupu objednávateľa a zabezpečeného VPN spojenia, zriadený v nevyhnutnom rozsahu a používaný výlučne na poskytovanie Servisných služieb v súlade so Servisnou zmluvou, vnútornými predpismi a bezpečnostnými požiadavkami objednávateľa.</w:t>
            </w:r>
          </w:p>
        </w:tc>
      </w:tr>
      <w:tr w:rsidR="0036724D" w:rsidRPr="00960E05" w14:paraId="1F5B9FE9"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0E24396C" w14:textId="77777777" w:rsidR="002D481F" w:rsidRDefault="00C5440E">
            <w:pPr>
              <w:spacing w:before="60" w:after="20"/>
            </w:pPr>
            <w:r>
              <w:rPr>
                <w:rFonts w:ascii="Cambria" w:hAnsi="Cambria"/>
                <w:b/>
                <w:sz w:val="20"/>
              </w:rPr>
              <w:t>Výstup vytvorený osobitne pre objednávateľa</w:t>
            </w:r>
          </w:p>
        </w:tc>
        <w:tc>
          <w:tcPr>
            <w:tcW w:w="6760" w:type="dxa"/>
            <w:tcBorders>
              <w:top w:val="single" w:sz="4" w:space="0" w:color="auto"/>
              <w:left w:val="single" w:sz="4" w:space="0" w:color="auto"/>
              <w:bottom w:val="single" w:sz="4" w:space="0" w:color="auto"/>
              <w:right w:val="single" w:sz="4" w:space="0" w:color="auto"/>
            </w:tcBorders>
          </w:tcPr>
          <w:p w14:paraId="1EBBA2A7" w14:textId="77777777" w:rsidR="002D481F" w:rsidRDefault="00C5440E">
            <w:pPr>
              <w:spacing w:before="60" w:after="20"/>
              <w:jc w:val="both"/>
            </w:pPr>
            <w:r>
              <w:rPr>
                <w:rFonts w:ascii="Cambria" w:hAnsi="Cambria"/>
                <w:sz w:val="20"/>
              </w:rPr>
              <w:t>Dokumentácia, konfigurácia, export konfigurácie, skript, automatizačný nástroj, konfiguračná šablóna, databáza, register, manuál alebo iný technický výstup vytvorený alebo podstatne upravený poskytovateľom podľa konkrétnych potrieb objednávateľa pri plnení Servisnej zmluvy; ak spĺňa zákonné znaky, považuje sa za Autorské dielo, počítačový program alebo databázu.</w:t>
            </w:r>
          </w:p>
        </w:tc>
      </w:tr>
      <w:tr w:rsidR="0036724D" w:rsidRPr="00960E05" w14:paraId="5B003828"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19126CD0" w14:textId="77777777" w:rsidR="002D481F" w:rsidRDefault="00C5440E">
            <w:pPr>
              <w:spacing w:before="60" w:after="20"/>
            </w:pPr>
            <w:r>
              <w:rPr>
                <w:rFonts w:ascii="Cambria" w:hAnsi="Cambria"/>
                <w:b/>
                <w:sz w:val="20"/>
              </w:rPr>
              <w:t>Záručná doba</w:t>
            </w:r>
          </w:p>
        </w:tc>
        <w:tc>
          <w:tcPr>
            <w:tcW w:w="6760" w:type="dxa"/>
            <w:tcBorders>
              <w:top w:val="single" w:sz="4" w:space="0" w:color="auto"/>
              <w:left w:val="single" w:sz="4" w:space="0" w:color="auto"/>
              <w:bottom w:val="single" w:sz="4" w:space="0" w:color="auto"/>
              <w:right w:val="single" w:sz="4" w:space="0" w:color="auto"/>
            </w:tcBorders>
          </w:tcPr>
          <w:p w14:paraId="72E51FC2" w14:textId="77777777" w:rsidR="002D481F" w:rsidRDefault="00C5440E">
            <w:pPr>
              <w:spacing w:before="60" w:after="20"/>
              <w:jc w:val="both"/>
            </w:pPr>
            <w:r>
              <w:rPr>
                <w:rFonts w:ascii="Cambria" w:hAnsi="Cambria"/>
                <w:sz w:val="20"/>
              </w:rPr>
              <w:t>doba zodpovednosti poskytovateľa za Vady podľa Servisnej zmluvy a Všeobecných podmienok, ktorá začína plynúť podpisom príslušného akceptačného protokolu objednávateľom a trvá 24 mesiacov, ak Servisná zmluva alebo zmluva o dielo neustanovuje dlhšiu dobu. Záručná doba sa nesmie zamieňať so 48-mesačnou dobou poskytovania Servisných služieb alebo Servisnej podpory výrobcu.</w:t>
            </w:r>
          </w:p>
        </w:tc>
      </w:tr>
      <w:tr w:rsidR="0036724D" w:rsidRPr="00960E05" w14:paraId="015BD201"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327738EA" w14:textId="77777777" w:rsidR="002D481F" w:rsidRDefault="00C5440E">
            <w:pPr>
              <w:spacing w:before="60" w:after="20"/>
            </w:pPr>
            <w:r>
              <w:rPr>
                <w:rFonts w:ascii="Cambria" w:hAnsi="Cambria"/>
                <w:b/>
                <w:sz w:val="20"/>
              </w:rPr>
              <w:t>Zásadný incident</w:t>
            </w:r>
          </w:p>
        </w:tc>
        <w:tc>
          <w:tcPr>
            <w:tcW w:w="6760" w:type="dxa"/>
            <w:tcBorders>
              <w:top w:val="single" w:sz="4" w:space="0" w:color="auto"/>
              <w:left w:val="single" w:sz="4" w:space="0" w:color="auto"/>
              <w:bottom w:val="single" w:sz="4" w:space="0" w:color="auto"/>
              <w:right w:val="single" w:sz="4" w:space="0" w:color="auto"/>
            </w:tcBorders>
          </w:tcPr>
          <w:p w14:paraId="22CF2F71" w14:textId="77777777" w:rsidR="002D481F" w:rsidRDefault="00C5440E">
            <w:pPr>
              <w:spacing w:before="60" w:after="20"/>
              <w:jc w:val="both"/>
            </w:pPr>
            <w:r>
              <w:rPr>
                <w:rFonts w:ascii="Cambria" w:hAnsi="Cambria"/>
                <w:sz w:val="20"/>
              </w:rPr>
              <w:t>Incident s kritickým dopadom, ktorý najmä znemožňuje používateľom objednávateľa využívať dotknuté IT alebo sieťové služby, znemožňuje správnu funkciu podstatného Komponentu IT infraštruktúry, spôsobuje úplný výpadok alebo zníženie výkonu či priepustnosti o viac ako 50 %, prípadne postihuje zariadenie alebo komponent bez funkčnej redundancie. Na zaradenie postačuje splnenie aspoň jedného z uvedených znakov.</w:t>
            </w:r>
          </w:p>
        </w:tc>
      </w:tr>
      <w:tr w:rsidR="0036724D" w:rsidRPr="00960E05" w14:paraId="5A5557C0"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3A941C92" w14:textId="77777777" w:rsidR="002D481F" w:rsidRDefault="00C5440E">
            <w:pPr>
              <w:spacing w:before="60" w:after="20"/>
            </w:pPr>
            <w:r>
              <w:rPr>
                <w:rFonts w:ascii="Cambria" w:hAnsi="Cambria"/>
                <w:b/>
                <w:sz w:val="20"/>
              </w:rPr>
              <w:t>Závažný incident</w:t>
            </w:r>
          </w:p>
        </w:tc>
        <w:tc>
          <w:tcPr>
            <w:tcW w:w="6760" w:type="dxa"/>
            <w:tcBorders>
              <w:top w:val="single" w:sz="4" w:space="0" w:color="auto"/>
              <w:left w:val="single" w:sz="4" w:space="0" w:color="auto"/>
              <w:bottom w:val="single" w:sz="4" w:space="0" w:color="auto"/>
              <w:right w:val="single" w:sz="4" w:space="0" w:color="auto"/>
            </w:tcBorders>
          </w:tcPr>
          <w:p w14:paraId="5F18ED52" w14:textId="77777777" w:rsidR="002D481F" w:rsidRDefault="00C5440E">
            <w:pPr>
              <w:spacing w:before="60" w:after="20"/>
              <w:jc w:val="both"/>
            </w:pPr>
            <w:r>
              <w:rPr>
                <w:rFonts w:ascii="Cambria" w:hAnsi="Cambria"/>
                <w:sz w:val="20"/>
              </w:rPr>
              <w:t>Incident s významným, avšak nie kritickým dopadom, ktorý spôsobuje čiastočnú nedostupnosť, podstatné obmedzenie funkcie, výkonnosti alebo bezpečnosti Diela, poruchu redundantného komponentu alebo zníženie výkonu či priepustnosti najviac o 50 %, pričom základné sieťové služby zostávajú dostupné a Dielo je možné používať aspoň v obmedzenom rozsahu.</w:t>
            </w:r>
          </w:p>
        </w:tc>
      </w:tr>
      <w:tr w:rsidR="0036724D" w:rsidRPr="00960E05" w14:paraId="5FD19C25"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17144F59" w14:textId="77777777" w:rsidR="002D481F" w:rsidRDefault="00C5440E">
            <w:pPr>
              <w:spacing w:before="60" w:after="20"/>
            </w:pPr>
            <w:r>
              <w:rPr>
                <w:rFonts w:ascii="Cambria" w:hAnsi="Cambria"/>
                <w:b/>
                <w:sz w:val="20"/>
              </w:rPr>
              <w:t>Zmluva / Servisná zmluva</w:t>
            </w:r>
          </w:p>
        </w:tc>
        <w:tc>
          <w:tcPr>
            <w:tcW w:w="6760" w:type="dxa"/>
            <w:tcBorders>
              <w:top w:val="single" w:sz="4" w:space="0" w:color="auto"/>
              <w:left w:val="single" w:sz="4" w:space="0" w:color="auto"/>
              <w:bottom w:val="single" w:sz="4" w:space="0" w:color="auto"/>
              <w:right w:val="single" w:sz="4" w:space="0" w:color="auto"/>
            </w:tcBorders>
          </w:tcPr>
          <w:p w14:paraId="0134C0B5" w14:textId="77777777" w:rsidR="002D481F" w:rsidRDefault="00C5440E">
            <w:pPr>
              <w:spacing w:before="60" w:after="20"/>
              <w:jc w:val="both"/>
            </w:pPr>
            <w:r>
              <w:rPr>
                <w:rFonts w:ascii="Cambria" w:hAnsi="Cambria"/>
                <w:sz w:val="20"/>
              </w:rPr>
              <w:t>Servisná zmluva uzatvorená medzi objednávateľom a poskytovateľom vrátane jej preambuly, článkov, všetkých príloh a riadne uzatvorených dodatkov.</w:t>
            </w:r>
          </w:p>
        </w:tc>
      </w:tr>
      <w:tr w:rsidR="0036724D" w:rsidRPr="00960E05" w14:paraId="181D4819" w14:textId="77777777" w:rsidTr="00C803C6">
        <w:trPr>
          <w:cantSplit/>
        </w:trPr>
        <w:tc>
          <w:tcPr>
            <w:tcW w:w="2420" w:type="dxa"/>
            <w:tcBorders>
              <w:top w:val="single" w:sz="4" w:space="0" w:color="auto"/>
              <w:left w:val="single" w:sz="4" w:space="0" w:color="auto"/>
              <w:bottom w:val="single" w:sz="4" w:space="0" w:color="auto"/>
              <w:right w:val="single" w:sz="4" w:space="0" w:color="auto"/>
            </w:tcBorders>
          </w:tcPr>
          <w:p w14:paraId="076020B8" w14:textId="77777777" w:rsidR="002D481F" w:rsidRDefault="00C5440E">
            <w:pPr>
              <w:spacing w:before="60" w:after="20"/>
            </w:pPr>
            <w:r>
              <w:rPr>
                <w:rFonts w:ascii="Cambria" w:hAnsi="Cambria"/>
                <w:b/>
                <w:sz w:val="20"/>
              </w:rPr>
              <w:t>Zmluvné strany</w:t>
            </w:r>
          </w:p>
        </w:tc>
        <w:tc>
          <w:tcPr>
            <w:tcW w:w="6760" w:type="dxa"/>
            <w:tcBorders>
              <w:top w:val="single" w:sz="4" w:space="0" w:color="auto"/>
              <w:left w:val="single" w:sz="4" w:space="0" w:color="auto"/>
              <w:bottom w:val="single" w:sz="4" w:space="0" w:color="auto"/>
              <w:right w:val="single" w:sz="4" w:space="0" w:color="auto"/>
            </w:tcBorders>
          </w:tcPr>
          <w:p w14:paraId="0DD3F9A8" w14:textId="77777777" w:rsidR="002D481F" w:rsidRDefault="00C5440E">
            <w:pPr>
              <w:spacing w:before="60" w:after="20"/>
              <w:jc w:val="both"/>
            </w:pPr>
            <w:r>
              <w:rPr>
                <w:rFonts w:ascii="Cambria" w:hAnsi="Cambria"/>
                <w:sz w:val="20"/>
              </w:rPr>
              <w:t>objednávateľ a poskytovateľ spoločne; „Zmluvná strana“ znamená ktorúkoľvek z nich samostatne.</w:t>
            </w:r>
          </w:p>
        </w:tc>
      </w:tr>
    </w:tbl>
    <w:p w14:paraId="3663A50C" w14:textId="77777777" w:rsidR="00850747" w:rsidRPr="00960E05" w:rsidRDefault="00850747" w:rsidP="00CC4CF5">
      <w:pPr>
        <w:rPr>
          <w:rFonts w:ascii="Cambria" w:hAnsi="Cambria" w:cs="Arial"/>
          <w:sz w:val="20"/>
        </w:rPr>
      </w:pPr>
    </w:p>
    <w:sectPr w:rsidR="00850747" w:rsidRPr="00960E05" w:rsidSect="009D39F6">
      <w:pgSz w:w="12240" w:h="15840"/>
      <w:pgMar w:top="567"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A0191" w14:textId="77777777" w:rsidR="0059205F" w:rsidRDefault="0059205F">
      <w:r>
        <w:separator/>
      </w:r>
    </w:p>
  </w:endnote>
  <w:endnote w:type="continuationSeparator" w:id="0">
    <w:p w14:paraId="4C23FB00" w14:textId="77777777" w:rsidR="0059205F" w:rsidRDefault="00592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0195A" w14:textId="77777777" w:rsidR="00CE7F92" w:rsidRDefault="00CE7F92">
    <w:pPr>
      <w:pStyle w:val="Footer"/>
    </w:pPr>
    <w:r>
      <w:rPr>
        <w:noProof/>
      </w:rPr>
      <mc:AlternateContent>
        <mc:Choice Requires="wps">
          <w:drawing>
            <wp:anchor distT="0" distB="0" distL="0" distR="0" simplePos="0" relativeHeight="251659264" behindDoc="0" locked="0" layoutInCell="1" allowOverlap="1" wp14:anchorId="0B6B16C8" wp14:editId="04E10789">
              <wp:simplePos x="635" y="635"/>
              <wp:positionH relativeFrom="page">
                <wp:align>center</wp:align>
              </wp:positionH>
              <wp:positionV relativeFrom="page">
                <wp:align>bottom</wp:align>
              </wp:positionV>
              <wp:extent cx="1152525" cy="307340"/>
              <wp:effectExtent l="0" t="0" r="9525" b="0"/>
              <wp:wrapNone/>
              <wp:docPr id="1519312387" name="Text Box 2" descr="Sensitivity Label: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52525" cy="307340"/>
                      </a:xfrm>
                      <a:prstGeom prst="rect">
                        <a:avLst/>
                      </a:prstGeom>
                      <a:noFill/>
                      <a:ln>
                        <a:noFill/>
                      </a:ln>
                    </wps:spPr>
                    <wps:txbx>
                      <w:txbxContent>
                        <w:p w14:paraId="2BF00371" w14:textId="77777777" w:rsidR="00CE7F92" w:rsidRPr="00CE7F92" w:rsidRDefault="00CE7F92" w:rsidP="00CE7F92">
                          <w:pPr>
                            <w:rPr>
                              <w:rFonts w:ascii="Arial" w:eastAsia="Arial" w:hAnsi="Arial" w:cs="Arial"/>
                              <w:noProof/>
                              <w:color w:val="2E404D"/>
                              <w:sz w:val="16"/>
                              <w:szCs w:val="16"/>
                            </w:rPr>
                          </w:pPr>
                          <w:r w:rsidRPr="00CE7F92">
                            <w:rPr>
                              <w:rFonts w:ascii="Arial" w:eastAsia="Arial" w:hAnsi="Arial" w:cs="Arial"/>
                              <w:noProof/>
                              <w:color w:val="2E404D"/>
                              <w:sz w:val="16"/>
                              <w:szCs w:val="16"/>
                            </w:rPr>
                            <w:t>Sensitivity Label: 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6B16C8" id="_x0000_t202" coordsize="21600,21600" o:spt="202" path="m,l,21600r21600,l21600,xe">
              <v:stroke joinstyle="miter"/>
              <v:path gradientshapeok="t" o:connecttype="rect"/>
            </v:shapetype>
            <v:shape id="Text Box 2" o:spid="_x0000_s1026" type="#_x0000_t202" alt="Sensitivity Label: General" style="position:absolute;margin-left:0;margin-top:0;width:90.75pt;height:24.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" filled="f" stroked="f">
              <v:textbox style="mso-fit-shape-to-text:t" inset="0,0,0,15pt">
                <w:txbxContent>
                  <w:p w14:paraId="2BF00371" w14:textId="77777777" w:rsidR="00CE7F92" w:rsidRPr="00CE7F92" w:rsidRDefault="00CE7F92" w:rsidP="00CE7F92">
                    <w:pPr>
                      <w:rPr>
                        <w:rFonts w:ascii="Arial" w:eastAsia="Arial" w:hAnsi="Arial" w:cs="Arial"/>
                        <w:noProof/>
                        <w:color w:val="2E404D"/>
                        <w:sz w:val="16"/>
                        <w:szCs w:val="16"/>
                      </w:rPr>
                    </w:pPr>
                    <w:r w:rsidRPr="00CE7F92">
                      <w:rPr>
                        <w:rFonts w:ascii="Arial" w:eastAsia="Arial" w:hAnsi="Arial" w:cs="Arial"/>
                        <w:noProof/>
                        <w:color w:val="2E404D"/>
                        <w:sz w:val="16"/>
                        <w:szCs w:val="16"/>
                      </w:rPr>
                      <w:t>Sensitivity Label: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BECB9" w14:textId="77777777" w:rsidR="0059205F" w:rsidRDefault="0059205F">
      <w:r>
        <w:separator/>
      </w:r>
    </w:p>
  </w:footnote>
  <w:footnote w:type="continuationSeparator" w:id="0">
    <w:p w14:paraId="6ADF3D42" w14:textId="77777777" w:rsidR="0059205F" w:rsidRDefault="00592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E25BF"/>
    <w:multiLevelType w:val="hybridMultilevel"/>
    <w:tmpl w:val="76CCF8B2"/>
    <w:lvl w:ilvl="0" w:tplc="041B0001">
      <w:start w:val="1"/>
      <w:numFmt w:val="bullet"/>
      <w:lvlText w:val=""/>
      <w:lvlJc w:val="left"/>
      <w:pPr>
        <w:ind w:left="819" w:hanging="360"/>
      </w:pPr>
      <w:rPr>
        <w:rFonts w:ascii="Symbol" w:hAnsi="Symbol" w:hint="default"/>
      </w:rPr>
    </w:lvl>
    <w:lvl w:ilvl="1" w:tplc="041B0003" w:tentative="1">
      <w:start w:val="1"/>
      <w:numFmt w:val="bullet"/>
      <w:lvlText w:val="o"/>
      <w:lvlJc w:val="left"/>
      <w:pPr>
        <w:ind w:left="1539" w:hanging="360"/>
      </w:pPr>
      <w:rPr>
        <w:rFonts w:ascii="Courier New" w:hAnsi="Courier New" w:cs="Courier New" w:hint="default"/>
      </w:rPr>
    </w:lvl>
    <w:lvl w:ilvl="2" w:tplc="041B0005" w:tentative="1">
      <w:start w:val="1"/>
      <w:numFmt w:val="bullet"/>
      <w:lvlText w:val=""/>
      <w:lvlJc w:val="left"/>
      <w:pPr>
        <w:ind w:left="2259" w:hanging="360"/>
      </w:pPr>
      <w:rPr>
        <w:rFonts w:ascii="Wingdings" w:hAnsi="Wingdings" w:hint="default"/>
      </w:rPr>
    </w:lvl>
    <w:lvl w:ilvl="3" w:tplc="041B0001" w:tentative="1">
      <w:start w:val="1"/>
      <w:numFmt w:val="bullet"/>
      <w:lvlText w:val=""/>
      <w:lvlJc w:val="left"/>
      <w:pPr>
        <w:ind w:left="2979" w:hanging="360"/>
      </w:pPr>
      <w:rPr>
        <w:rFonts w:ascii="Symbol" w:hAnsi="Symbol" w:hint="default"/>
      </w:rPr>
    </w:lvl>
    <w:lvl w:ilvl="4" w:tplc="041B0003" w:tentative="1">
      <w:start w:val="1"/>
      <w:numFmt w:val="bullet"/>
      <w:lvlText w:val="o"/>
      <w:lvlJc w:val="left"/>
      <w:pPr>
        <w:ind w:left="3699" w:hanging="360"/>
      </w:pPr>
      <w:rPr>
        <w:rFonts w:ascii="Courier New" w:hAnsi="Courier New" w:cs="Courier New" w:hint="default"/>
      </w:rPr>
    </w:lvl>
    <w:lvl w:ilvl="5" w:tplc="041B0005" w:tentative="1">
      <w:start w:val="1"/>
      <w:numFmt w:val="bullet"/>
      <w:lvlText w:val=""/>
      <w:lvlJc w:val="left"/>
      <w:pPr>
        <w:ind w:left="4419" w:hanging="360"/>
      </w:pPr>
      <w:rPr>
        <w:rFonts w:ascii="Wingdings" w:hAnsi="Wingdings" w:hint="default"/>
      </w:rPr>
    </w:lvl>
    <w:lvl w:ilvl="6" w:tplc="041B0001" w:tentative="1">
      <w:start w:val="1"/>
      <w:numFmt w:val="bullet"/>
      <w:lvlText w:val=""/>
      <w:lvlJc w:val="left"/>
      <w:pPr>
        <w:ind w:left="5139" w:hanging="360"/>
      </w:pPr>
      <w:rPr>
        <w:rFonts w:ascii="Symbol" w:hAnsi="Symbol" w:hint="default"/>
      </w:rPr>
    </w:lvl>
    <w:lvl w:ilvl="7" w:tplc="041B0003" w:tentative="1">
      <w:start w:val="1"/>
      <w:numFmt w:val="bullet"/>
      <w:lvlText w:val="o"/>
      <w:lvlJc w:val="left"/>
      <w:pPr>
        <w:ind w:left="5859" w:hanging="360"/>
      </w:pPr>
      <w:rPr>
        <w:rFonts w:ascii="Courier New" w:hAnsi="Courier New" w:cs="Courier New" w:hint="default"/>
      </w:rPr>
    </w:lvl>
    <w:lvl w:ilvl="8" w:tplc="041B0005" w:tentative="1">
      <w:start w:val="1"/>
      <w:numFmt w:val="bullet"/>
      <w:lvlText w:val=""/>
      <w:lvlJc w:val="left"/>
      <w:pPr>
        <w:ind w:left="6579" w:hanging="360"/>
      </w:pPr>
      <w:rPr>
        <w:rFonts w:ascii="Wingdings" w:hAnsi="Wingdings" w:hint="default"/>
      </w:rPr>
    </w:lvl>
  </w:abstractNum>
  <w:abstractNum w:abstractNumId="1" w15:restartNumberingAfterBreak="0">
    <w:nsid w:val="282011FA"/>
    <w:multiLevelType w:val="singleLevel"/>
    <w:tmpl w:val="F07C4A6A"/>
    <w:lvl w:ilvl="0">
      <w:start w:val="1"/>
      <w:numFmt w:val="lowerLetter"/>
      <w:lvlText w:val="%1)"/>
      <w:lvlJc w:val="left"/>
      <w:pPr>
        <w:tabs>
          <w:tab w:val="num" w:pos="360"/>
        </w:tabs>
        <w:ind w:left="360" w:hanging="360"/>
      </w:pPr>
      <w:rPr>
        <w:rFonts w:cs="Times New Roman"/>
      </w:rPr>
    </w:lvl>
  </w:abstractNum>
  <w:abstractNum w:abstractNumId="2" w15:restartNumberingAfterBreak="0">
    <w:nsid w:val="2B5C1B6C"/>
    <w:multiLevelType w:val="singleLevel"/>
    <w:tmpl w:val="4E6E575E"/>
    <w:lvl w:ilvl="0">
      <w:start w:val="1"/>
      <w:numFmt w:val="lowerLetter"/>
      <w:lvlText w:val="%1)"/>
      <w:legacy w:legacy="1" w:legacySpace="0" w:legacyIndent="283"/>
      <w:lvlJc w:val="left"/>
      <w:pPr>
        <w:ind w:left="283" w:hanging="283"/>
      </w:pPr>
    </w:lvl>
  </w:abstractNum>
  <w:abstractNum w:abstractNumId="3" w15:restartNumberingAfterBreak="0">
    <w:nsid w:val="4499695F"/>
    <w:multiLevelType w:val="singleLevel"/>
    <w:tmpl w:val="F07C4A6A"/>
    <w:lvl w:ilvl="0">
      <w:start w:val="1"/>
      <w:numFmt w:val="lowerLetter"/>
      <w:lvlText w:val="%1)"/>
      <w:lvlJc w:val="left"/>
      <w:pPr>
        <w:tabs>
          <w:tab w:val="num" w:pos="360"/>
        </w:tabs>
        <w:ind w:left="360" w:hanging="360"/>
      </w:pPr>
      <w:rPr>
        <w:rFonts w:cs="Times New Roman"/>
      </w:rPr>
    </w:lvl>
  </w:abstractNum>
  <w:abstractNum w:abstractNumId="4" w15:restartNumberingAfterBreak="0">
    <w:nsid w:val="519917A9"/>
    <w:multiLevelType w:val="hybridMultilevel"/>
    <w:tmpl w:val="DD08327C"/>
    <w:lvl w:ilvl="0" w:tplc="D1264348">
      <w:start w:val="1"/>
      <w:numFmt w:val="lowerLetter"/>
      <w:lvlText w:val="%1)"/>
      <w:legacy w:legacy="1" w:legacySpace="0" w:legacyIndent="283"/>
      <w:lvlJc w:val="left"/>
      <w:pPr>
        <w:ind w:left="283" w:hanging="283"/>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 w15:restartNumberingAfterBreak="0">
    <w:nsid w:val="651805EA"/>
    <w:multiLevelType w:val="hybridMultilevel"/>
    <w:tmpl w:val="FFC261C4"/>
    <w:lvl w:ilvl="0" w:tplc="0409000F">
      <w:start w:val="1"/>
      <w:numFmt w:val="decimal"/>
      <w:lvlText w:val="%1."/>
      <w:lvlJc w:val="left"/>
      <w:pPr>
        <w:tabs>
          <w:tab w:val="num" w:pos="1069"/>
        </w:tabs>
        <w:ind w:left="1069"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517960264">
    <w:abstractNumId w:val="2"/>
    <w:lvlOverride w:ilvl="0">
      <w:startOverride w:val="1"/>
    </w:lvlOverride>
  </w:num>
  <w:num w:numId="2" w16cid:durableId="676599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6737509">
    <w:abstractNumId w:val="1"/>
  </w:num>
  <w:num w:numId="4" w16cid:durableId="1455250986">
    <w:abstractNumId w:val="3"/>
  </w:num>
  <w:num w:numId="5" w16cid:durableId="1808233427">
    <w:abstractNumId w:val="5"/>
  </w:num>
  <w:num w:numId="6" w16cid:durableId="2058120539">
    <w:abstractNumId w:val="4"/>
  </w:num>
  <w:num w:numId="7" w16cid:durableId="1788428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9DF"/>
    <w:rsid w:val="00020C2D"/>
    <w:rsid w:val="000243EC"/>
    <w:rsid w:val="00037020"/>
    <w:rsid w:val="00046CE8"/>
    <w:rsid w:val="00047C18"/>
    <w:rsid w:val="00054B31"/>
    <w:rsid w:val="00065772"/>
    <w:rsid w:val="00067B14"/>
    <w:rsid w:val="00072C1F"/>
    <w:rsid w:val="0007474D"/>
    <w:rsid w:val="000767FC"/>
    <w:rsid w:val="000A196A"/>
    <w:rsid w:val="000A739C"/>
    <w:rsid w:val="000B1380"/>
    <w:rsid w:val="000C0279"/>
    <w:rsid w:val="000C4F0B"/>
    <w:rsid w:val="000D1950"/>
    <w:rsid w:val="000D5826"/>
    <w:rsid w:val="000D5F35"/>
    <w:rsid w:val="000E1FA9"/>
    <w:rsid w:val="001050DF"/>
    <w:rsid w:val="00133123"/>
    <w:rsid w:val="00142C87"/>
    <w:rsid w:val="00143595"/>
    <w:rsid w:val="0014543F"/>
    <w:rsid w:val="0014590E"/>
    <w:rsid w:val="001564AC"/>
    <w:rsid w:val="00162F70"/>
    <w:rsid w:val="0017713C"/>
    <w:rsid w:val="001904B6"/>
    <w:rsid w:val="001A7BBC"/>
    <w:rsid w:val="001C3CD8"/>
    <w:rsid w:val="001E0DB7"/>
    <w:rsid w:val="002073B2"/>
    <w:rsid w:val="00234F0D"/>
    <w:rsid w:val="0023711E"/>
    <w:rsid w:val="00254B6D"/>
    <w:rsid w:val="002932AA"/>
    <w:rsid w:val="002A0F88"/>
    <w:rsid w:val="002C6A44"/>
    <w:rsid w:val="002D481F"/>
    <w:rsid w:val="002F5DD1"/>
    <w:rsid w:val="00311B63"/>
    <w:rsid w:val="003174A0"/>
    <w:rsid w:val="00323499"/>
    <w:rsid w:val="00360346"/>
    <w:rsid w:val="0036724D"/>
    <w:rsid w:val="003852CA"/>
    <w:rsid w:val="00393188"/>
    <w:rsid w:val="003A7929"/>
    <w:rsid w:val="003B39B3"/>
    <w:rsid w:val="003C40EE"/>
    <w:rsid w:val="003C7430"/>
    <w:rsid w:val="003D561A"/>
    <w:rsid w:val="003D7F64"/>
    <w:rsid w:val="003E5696"/>
    <w:rsid w:val="004012BC"/>
    <w:rsid w:val="00424B37"/>
    <w:rsid w:val="00430F32"/>
    <w:rsid w:val="0044235D"/>
    <w:rsid w:val="00453F40"/>
    <w:rsid w:val="00456172"/>
    <w:rsid w:val="00473167"/>
    <w:rsid w:val="00482F38"/>
    <w:rsid w:val="00483ECC"/>
    <w:rsid w:val="0048717D"/>
    <w:rsid w:val="00496D8F"/>
    <w:rsid w:val="00497CAC"/>
    <w:rsid w:val="004D2154"/>
    <w:rsid w:val="004D32ED"/>
    <w:rsid w:val="004E3319"/>
    <w:rsid w:val="004F2510"/>
    <w:rsid w:val="00501FA9"/>
    <w:rsid w:val="00510817"/>
    <w:rsid w:val="005118F1"/>
    <w:rsid w:val="00517B20"/>
    <w:rsid w:val="005414CF"/>
    <w:rsid w:val="005563A6"/>
    <w:rsid w:val="00560199"/>
    <w:rsid w:val="00560E19"/>
    <w:rsid w:val="00561C44"/>
    <w:rsid w:val="00562F40"/>
    <w:rsid w:val="0057121E"/>
    <w:rsid w:val="00573863"/>
    <w:rsid w:val="005747DF"/>
    <w:rsid w:val="00584A12"/>
    <w:rsid w:val="0059205F"/>
    <w:rsid w:val="00594ED6"/>
    <w:rsid w:val="005A066C"/>
    <w:rsid w:val="005B3B32"/>
    <w:rsid w:val="005B627A"/>
    <w:rsid w:val="005C336F"/>
    <w:rsid w:val="005C41A2"/>
    <w:rsid w:val="005E0590"/>
    <w:rsid w:val="005E1F41"/>
    <w:rsid w:val="005E68CA"/>
    <w:rsid w:val="00605A80"/>
    <w:rsid w:val="006161B5"/>
    <w:rsid w:val="006164F1"/>
    <w:rsid w:val="0062148A"/>
    <w:rsid w:val="006253F8"/>
    <w:rsid w:val="00630A55"/>
    <w:rsid w:val="006315C5"/>
    <w:rsid w:val="00637FF3"/>
    <w:rsid w:val="006416BD"/>
    <w:rsid w:val="00647B53"/>
    <w:rsid w:val="006531DD"/>
    <w:rsid w:val="00653594"/>
    <w:rsid w:val="00665D69"/>
    <w:rsid w:val="00675F3B"/>
    <w:rsid w:val="00685EF8"/>
    <w:rsid w:val="00695D6D"/>
    <w:rsid w:val="006A1568"/>
    <w:rsid w:val="006A7274"/>
    <w:rsid w:val="006D4777"/>
    <w:rsid w:val="006E02BD"/>
    <w:rsid w:val="006E54B0"/>
    <w:rsid w:val="00701191"/>
    <w:rsid w:val="00702AB7"/>
    <w:rsid w:val="00723448"/>
    <w:rsid w:val="00727833"/>
    <w:rsid w:val="00737720"/>
    <w:rsid w:val="007419DF"/>
    <w:rsid w:val="00762237"/>
    <w:rsid w:val="00762313"/>
    <w:rsid w:val="0079261A"/>
    <w:rsid w:val="007938AB"/>
    <w:rsid w:val="007B1FF7"/>
    <w:rsid w:val="007B6BC7"/>
    <w:rsid w:val="007D21E9"/>
    <w:rsid w:val="008010D6"/>
    <w:rsid w:val="008039A6"/>
    <w:rsid w:val="00832FCC"/>
    <w:rsid w:val="00850747"/>
    <w:rsid w:val="00850F4D"/>
    <w:rsid w:val="0085270A"/>
    <w:rsid w:val="008537C3"/>
    <w:rsid w:val="0087235C"/>
    <w:rsid w:val="00874DC2"/>
    <w:rsid w:val="00880558"/>
    <w:rsid w:val="00881B21"/>
    <w:rsid w:val="00894B60"/>
    <w:rsid w:val="008A401D"/>
    <w:rsid w:val="008A40FE"/>
    <w:rsid w:val="008B0A90"/>
    <w:rsid w:val="008C0782"/>
    <w:rsid w:val="008C0A7C"/>
    <w:rsid w:val="008C1589"/>
    <w:rsid w:val="008C544F"/>
    <w:rsid w:val="008D4687"/>
    <w:rsid w:val="008E0EC9"/>
    <w:rsid w:val="008F0859"/>
    <w:rsid w:val="008F3A59"/>
    <w:rsid w:val="009023CA"/>
    <w:rsid w:val="009061CF"/>
    <w:rsid w:val="00930264"/>
    <w:rsid w:val="0093244C"/>
    <w:rsid w:val="0093657A"/>
    <w:rsid w:val="009405E4"/>
    <w:rsid w:val="009410CA"/>
    <w:rsid w:val="00951F20"/>
    <w:rsid w:val="00960E05"/>
    <w:rsid w:val="00974D49"/>
    <w:rsid w:val="00974FF6"/>
    <w:rsid w:val="00980183"/>
    <w:rsid w:val="0098255E"/>
    <w:rsid w:val="009853C7"/>
    <w:rsid w:val="00995F11"/>
    <w:rsid w:val="009B00F2"/>
    <w:rsid w:val="009B2F5C"/>
    <w:rsid w:val="009D2EE0"/>
    <w:rsid w:val="009D39F6"/>
    <w:rsid w:val="009D3DFC"/>
    <w:rsid w:val="009D6425"/>
    <w:rsid w:val="009F6C11"/>
    <w:rsid w:val="00A02453"/>
    <w:rsid w:val="00A21D09"/>
    <w:rsid w:val="00A26F38"/>
    <w:rsid w:val="00A460A2"/>
    <w:rsid w:val="00A5076D"/>
    <w:rsid w:val="00A50B47"/>
    <w:rsid w:val="00A51B3C"/>
    <w:rsid w:val="00A6379B"/>
    <w:rsid w:val="00A66F41"/>
    <w:rsid w:val="00A76900"/>
    <w:rsid w:val="00A82975"/>
    <w:rsid w:val="00A83593"/>
    <w:rsid w:val="00A83B6F"/>
    <w:rsid w:val="00A8647E"/>
    <w:rsid w:val="00AB567A"/>
    <w:rsid w:val="00AB7DF6"/>
    <w:rsid w:val="00AB7FEC"/>
    <w:rsid w:val="00B1403B"/>
    <w:rsid w:val="00B142FD"/>
    <w:rsid w:val="00B43020"/>
    <w:rsid w:val="00B44EDB"/>
    <w:rsid w:val="00B63F7E"/>
    <w:rsid w:val="00B67A4F"/>
    <w:rsid w:val="00B7045E"/>
    <w:rsid w:val="00B7173A"/>
    <w:rsid w:val="00B7357A"/>
    <w:rsid w:val="00B81146"/>
    <w:rsid w:val="00B84D2F"/>
    <w:rsid w:val="00B8708B"/>
    <w:rsid w:val="00BA7A6A"/>
    <w:rsid w:val="00BB246F"/>
    <w:rsid w:val="00BC6A5A"/>
    <w:rsid w:val="00BD44D1"/>
    <w:rsid w:val="00BE1B41"/>
    <w:rsid w:val="00BE1F1B"/>
    <w:rsid w:val="00BF4559"/>
    <w:rsid w:val="00C13B25"/>
    <w:rsid w:val="00C150DE"/>
    <w:rsid w:val="00C428B9"/>
    <w:rsid w:val="00C453AB"/>
    <w:rsid w:val="00C5440E"/>
    <w:rsid w:val="00C67819"/>
    <w:rsid w:val="00C803C6"/>
    <w:rsid w:val="00C85065"/>
    <w:rsid w:val="00C85CC2"/>
    <w:rsid w:val="00C876C7"/>
    <w:rsid w:val="00C94D17"/>
    <w:rsid w:val="00C95ADF"/>
    <w:rsid w:val="00CA665C"/>
    <w:rsid w:val="00CB066B"/>
    <w:rsid w:val="00CC05F3"/>
    <w:rsid w:val="00CC4CF5"/>
    <w:rsid w:val="00CD439E"/>
    <w:rsid w:val="00CE6BFA"/>
    <w:rsid w:val="00CE7F92"/>
    <w:rsid w:val="00D16E51"/>
    <w:rsid w:val="00D23B63"/>
    <w:rsid w:val="00D263AA"/>
    <w:rsid w:val="00D3314E"/>
    <w:rsid w:val="00D4655D"/>
    <w:rsid w:val="00D47DCB"/>
    <w:rsid w:val="00D81293"/>
    <w:rsid w:val="00D95016"/>
    <w:rsid w:val="00D9519D"/>
    <w:rsid w:val="00DA0F20"/>
    <w:rsid w:val="00DA4131"/>
    <w:rsid w:val="00DC573F"/>
    <w:rsid w:val="00DD7135"/>
    <w:rsid w:val="00DE440C"/>
    <w:rsid w:val="00DF1DB0"/>
    <w:rsid w:val="00E02E3F"/>
    <w:rsid w:val="00E07BED"/>
    <w:rsid w:val="00E169BF"/>
    <w:rsid w:val="00E16F58"/>
    <w:rsid w:val="00E178C6"/>
    <w:rsid w:val="00E21614"/>
    <w:rsid w:val="00E25CAC"/>
    <w:rsid w:val="00E36EAD"/>
    <w:rsid w:val="00E522DC"/>
    <w:rsid w:val="00E66F41"/>
    <w:rsid w:val="00E673F1"/>
    <w:rsid w:val="00E80A36"/>
    <w:rsid w:val="00E845DC"/>
    <w:rsid w:val="00EA67D0"/>
    <w:rsid w:val="00EA71DE"/>
    <w:rsid w:val="00EB4A1B"/>
    <w:rsid w:val="00EB4E9D"/>
    <w:rsid w:val="00EC62FB"/>
    <w:rsid w:val="00ED0AF8"/>
    <w:rsid w:val="00ED1FD1"/>
    <w:rsid w:val="00EE77DE"/>
    <w:rsid w:val="00EF4817"/>
    <w:rsid w:val="00EF4A37"/>
    <w:rsid w:val="00F07FF9"/>
    <w:rsid w:val="00F25962"/>
    <w:rsid w:val="00F307EB"/>
    <w:rsid w:val="00F34A24"/>
    <w:rsid w:val="00F4039C"/>
    <w:rsid w:val="00F4115E"/>
    <w:rsid w:val="00F41EAD"/>
    <w:rsid w:val="00F56BE2"/>
    <w:rsid w:val="00F611A8"/>
    <w:rsid w:val="00F621B1"/>
    <w:rsid w:val="00F64857"/>
    <w:rsid w:val="00F7136C"/>
    <w:rsid w:val="00F842DC"/>
    <w:rsid w:val="00FA1B1E"/>
    <w:rsid w:val="00FA4579"/>
    <w:rsid w:val="00FA76BA"/>
    <w:rsid w:val="00FB4C98"/>
    <w:rsid w:val="00FC12C2"/>
    <w:rsid w:val="00FE4A3D"/>
    <w:rsid w:val="00FF33B2"/>
    <w:rsid w:val="00FF4D7B"/>
  </w:rsids>
  <m:mathPr>
    <m:mathFont m:val="Cambria Math"/>
    <m:brkBin m:val="before"/>
    <m:brkBinSub m:val="--"/>
    <m:smallFrac m:val="0"/>
    <m:dispDef/>
    <m:lMargin m:val="0"/>
    <m:rMargin m:val="0"/>
    <m:defJc m:val="centerGroup"/>
    <m:wrapIndent m:val="1440"/>
    <m:intLim m:val="subSup"/>
    <m:naryLim m:val="undOvr"/>
  </m:mathPr>
  <w:themeFontLang w:val="sk-SK"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255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9DF"/>
    <w:rPr>
      <w:sz w:val="24"/>
      <w:lang w:eastAsia="en-US"/>
    </w:rPr>
  </w:style>
  <w:style w:type="paragraph" w:styleId="Heading1">
    <w:name w:val="heading 1"/>
    <w:aliases w:val="Požiadavka 1,h1"/>
    <w:basedOn w:val="Normal"/>
    <w:next w:val="Normal"/>
    <w:link w:val="Heading1Char"/>
    <w:qFormat/>
    <w:rsid w:val="007419DF"/>
    <w:pPr>
      <w:keepNext/>
      <w:spacing w:before="120"/>
      <w:outlineLvl w:val="0"/>
    </w:pPr>
    <w:rPr>
      <w:rFonts w:ascii="Arial" w:hAnsi="Arial"/>
      <w:b/>
      <w:position w:val="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419DF"/>
    <w:pPr>
      <w:tabs>
        <w:tab w:val="center" w:pos="4536"/>
        <w:tab w:val="right" w:pos="9072"/>
      </w:tabs>
    </w:pPr>
    <w:rPr>
      <w:szCs w:val="24"/>
    </w:rPr>
  </w:style>
  <w:style w:type="paragraph" w:customStyle="1" w:styleId="weeklies">
    <w:name w:val="weeklies"/>
    <w:basedOn w:val="Normal"/>
    <w:next w:val="Normal"/>
    <w:rsid w:val="007419DF"/>
    <w:pPr>
      <w:overflowPunct w:val="0"/>
      <w:autoSpaceDE w:val="0"/>
      <w:autoSpaceDN w:val="0"/>
      <w:adjustRightInd w:val="0"/>
      <w:jc w:val="both"/>
      <w:textAlignment w:val="baseline"/>
    </w:pPr>
    <w:rPr>
      <w:rFonts w:ascii="Arial" w:hAnsi="Arial"/>
      <w:lang w:val="en-US"/>
    </w:rPr>
  </w:style>
  <w:style w:type="character" w:customStyle="1" w:styleId="Heading1Char">
    <w:name w:val="Heading 1 Char"/>
    <w:aliases w:val="Požiadavka 1 Char,h1 Char"/>
    <w:link w:val="Heading1"/>
    <w:locked/>
    <w:rsid w:val="007419DF"/>
    <w:rPr>
      <w:rFonts w:ascii="Arial" w:hAnsi="Arial"/>
      <w:b/>
      <w:position w:val="4"/>
      <w:sz w:val="28"/>
      <w:lang w:val="sk-SK" w:eastAsia="en-US" w:bidi="ar-SA"/>
    </w:rPr>
  </w:style>
  <w:style w:type="paragraph" w:styleId="Footer">
    <w:name w:val="footer"/>
    <w:basedOn w:val="Normal"/>
    <w:rsid w:val="007419DF"/>
    <w:pPr>
      <w:tabs>
        <w:tab w:val="center" w:pos="4320"/>
        <w:tab w:val="right" w:pos="8640"/>
      </w:tabs>
    </w:pPr>
  </w:style>
  <w:style w:type="paragraph" w:styleId="BalloonText">
    <w:name w:val="Balloon Text"/>
    <w:basedOn w:val="Normal"/>
    <w:semiHidden/>
    <w:rsid w:val="009061CF"/>
    <w:rPr>
      <w:rFonts w:ascii="Tahoma" w:hAnsi="Tahoma" w:cs="Tahoma"/>
      <w:sz w:val="16"/>
      <w:szCs w:val="16"/>
    </w:rPr>
  </w:style>
  <w:style w:type="character" w:styleId="Strong">
    <w:name w:val="Strong"/>
    <w:qFormat/>
    <w:rsid w:val="00ED1FD1"/>
    <w:rPr>
      <w:b/>
      <w:bCs/>
    </w:rPr>
  </w:style>
  <w:style w:type="paragraph" w:styleId="BodyTextIndent2">
    <w:name w:val="Body Text Indent 2"/>
    <w:basedOn w:val="Normal"/>
    <w:rsid w:val="0087235C"/>
    <w:pPr>
      <w:ind w:left="708"/>
      <w:jc w:val="both"/>
    </w:pPr>
  </w:style>
  <w:style w:type="paragraph" w:customStyle="1" w:styleId="Textvtabulce">
    <w:name w:val="Text v tabulce"/>
    <w:basedOn w:val="Normal"/>
    <w:rsid w:val="00FA76BA"/>
    <w:rPr>
      <w:lang w:val="cs-CZ" w:eastAsia="cs-CZ"/>
    </w:rPr>
  </w:style>
  <w:style w:type="paragraph" w:styleId="PlainText">
    <w:name w:val="Plain Text"/>
    <w:basedOn w:val="Normal"/>
    <w:link w:val="PlainTextChar"/>
    <w:rsid w:val="00AB7DF6"/>
    <w:rPr>
      <w:rFonts w:ascii="Courier New" w:hAnsi="Courier New"/>
      <w:sz w:val="20"/>
    </w:rPr>
  </w:style>
  <w:style w:type="character" w:customStyle="1" w:styleId="PlainTextChar">
    <w:name w:val="Plain Text Char"/>
    <w:link w:val="PlainText"/>
    <w:semiHidden/>
    <w:locked/>
    <w:rsid w:val="00AB7DF6"/>
    <w:rPr>
      <w:rFonts w:ascii="Courier New" w:hAnsi="Courier New"/>
      <w:lang w:val="sk-SK" w:eastAsia="en-US" w:bidi="ar-SA"/>
    </w:rPr>
  </w:style>
  <w:style w:type="character" w:styleId="CommentReference">
    <w:name w:val="annotation reference"/>
    <w:semiHidden/>
    <w:rsid w:val="0014590E"/>
    <w:rPr>
      <w:sz w:val="16"/>
      <w:szCs w:val="16"/>
    </w:rPr>
  </w:style>
  <w:style w:type="paragraph" w:styleId="CommentText">
    <w:name w:val="annotation text"/>
    <w:basedOn w:val="Normal"/>
    <w:semiHidden/>
    <w:rsid w:val="0014590E"/>
    <w:rPr>
      <w:sz w:val="20"/>
    </w:rPr>
  </w:style>
  <w:style w:type="paragraph" w:styleId="CommentSubject">
    <w:name w:val="annotation subject"/>
    <w:basedOn w:val="CommentText"/>
    <w:next w:val="CommentText"/>
    <w:semiHidden/>
    <w:rsid w:val="0014590E"/>
    <w:rPr>
      <w:b/>
      <w:bCs/>
    </w:rPr>
  </w:style>
  <w:style w:type="character" w:customStyle="1" w:styleId="hgkelc">
    <w:name w:val="hgkelc"/>
    <w:rsid w:val="00561C44"/>
  </w:style>
  <w:style w:type="character" w:customStyle="1" w:styleId="cf01">
    <w:name w:val="cf01"/>
    <w:rsid w:val="00BE1F1B"/>
    <w:rPr>
      <w:rFonts w:ascii="Segoe UI" w:hAnsi="Segoe UI" w:cs="Segoe UI" w:hint="default"/>
      <w:sz w:val="18"/>
      <w:szCs w:val="18"/>
    </w:rPr>
  </w:style>
  <w:style w:type="character" w:customStyle="1" w:styleId="cf11">
    <w:name w:val="cf11"/>
    <w:rsid w:val="00BE1F1B"/>
    <w:rPr>
      <w:rFonts w:ascii="Segoe UI" w:hAnsi="Segoe UI" w:cs="Segoe UI" w:hint="default"/>
      <w:sz w:val="18"/>
      <w:szCs w:val="18"/>
    </w:rPr>
  </w:style>
  <w:style w:type="character" w:customStyle="1" w:styleId="cf21">
    <w:name w:val="cf21"/>
    <w:rsid w:val="00BE1F1B"/>
    <w:rPr>
      <w:rFonts w:ascii="Segoe UI" w:hAnsi="Segoe UI" w:cs="Segoe UI" w:hint="default"/>
      <w:sz w:val="18"/>
      <w:szCs w:val="18"/>
      <w:shd w:val="clear" w:color="auto" w:fill="FFFF00"/>
    </w:rPr>
  </w:style>
  <w:style w:type="character" w:styleId="Hyperlink">
    <w:name w:val="Hyperlink"/>
    <w:uiPriority w:val="99"/>
    <w:unhideWhenUsed/>
    <w:rsid w:val="00A82975"/>
    <w:rPr>
      <w:color w:val="0000FF"/>
      <w:u w:val="single"/>
    </w:rPr>
  </w:style>
  <w:style w:type="paragraph" w:styleId="Revision">
    <w:name w:val="Revision"/>
    <w:hidden/>
    <w:uiPriority w:val="99"/>
    <w:semiHidden/>
    <w:rsid w:val="006531DD"/>
    <w:rPr>
      <w:sz w:val="24"/>
      <w:lang w:eastAsia="en-US"/>
    </w:rPr>
  </w:style>
  <w:style w:type="paragraph" w:styleId="BodyText">
    <w:name w:val="Body Text"/>
    <w:basedOn w:val="Normal"/>
    <w:link w:val="BodyTextChar"/>
    <w:rsid w:val="007D21E9"/>
    <w:pPr>
      <w:spacing w:after="120"/>
    </w:pPr>
  </w:style>
  <w:style w:type="character" w:customStyle="1" w:styleId="BodyTextChar">
    <w:name w:val="Body Text Char"/>
    <w:basedOn w:val="DefaultParagraphFont"/>
    <w:link w:val="BodyText"/>
    <w:rsid w:val="007D21E9"/>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221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E86AD-5CA7-4AF4-A43A-20C66D6F9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2397</Words>
  <Characters>13667</Characters>
  <Application>Microsoft Office Word</Application>
  <DocSecurity>0</DocSecurity>
  <Lines>113</Lines>
  <Paragraphs>32</Paragraphs>
  <ScaleCrop>false</ScaleCrop>
  <Company/>
  <LinksUpToDate>false</LinksUpToDate>
  <CharactersWithSpaces>16032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2026-07-20T13:38:00Z</dcterms:created>
  <dcterms:modified xsi:type="dcterms:W3CDTF">2026-07-20T13:38:00Z</dcterms:modified>
</cp:coreProperties>
</file>